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8CD" w:rsidRPr="00CB78CD" w:rsidRDefault="00CB78CD" w:rsidP="00CB78CD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CB78CD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2023年4月江苏省邮政行业运行情况</w:t>
      </w:r>
    </w:p>
    <w:p w:rsidR="00CB78CD" w:rsidRDefault="00CB78CD" w:rsidP="00CB78CD">
      <w:pPr>
        <w:widowControl/>
        <w:shd w:val="clear" w:color="auto" w:fill="FFFFFF"/>
        <w:spacing w:line="375" w:lineRule="atLeast"/>
        <w:ind w:firstLine="640"/>
        <w:jc w:val="left"/>
        <w:rPr>
          <w:rFonts w:ascii="微软雅黑" w:eastAsia="微软雅黑" w:hAnsi="微软雅黑" w:cs="宋体"/>
          <w:color w:val="999999"/>
          <w:kern w:val="0"/>
          <w:sz w:val="24"/>
          <w:szCs w:val="24"/>
        </w:rPr>
      </w:pPr>
    </w:p>
    <w:p w:rsidR="00CB78CD" w:rsidRPr="00CB78CD" w:rsidRDefault="00CB78CD" w:rsidP="00B46C0E">
      <w:pPr>
        <w:widowControl/>
        <w:shd w:val="clear" w:color="auto" w:fill="FFFFFF"/>
        <w:spacing w:line="400" w:lineRule="atLeast"/>
        <w:ind w:firstLine="640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 w:rsidRPr="00CB78CD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1-4月份，全省邮政行业寄递业务量累计完成39.1亿件，同比增长15.6%。其中，快递业务量累计完成28.2亿件，同比增长17.1%。</w:t>
      </w:r>
    </w:p>
    <w:p w:rsidR="00CB78CD" w:rsidRPr="00CB78CD" w:rsidRDefault="00CB78CD" w:rsidP="00B46C0E">
      <w:pPr>
        <w:widowControl/>
        <w:shd w:val="clear" w:color="auto" w:fill="FFFFFF"/>
        <w:spacing w:line="400" w:lineRule="atLeast"/>
        <w:ind w:firstLine="645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CB78CD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1-4月，全省同城快递业务量累计完成2.6亿件，同比下降12.3%；异地业务量累计完成25.5亿件，</w:t>
      </w:r>
      <w:r w:rsidRPr="00CB78CD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同比增长21.3%；国际/港澳台业务量累计完成994.4万件，同比增长2.5%。</w:t>
      </w:r>
    </w:p>
    <w:p w:rsidR="00CB78CD" w:rsidRPr="00CB78CD" w:rsidRDefault="00CB78CD" w:rsidP="00B46C0E">
      <w:pPr>
        <w:widowControl/>
        <w:shd w:val="clear" w:color="auto" w:fill="FFFFFF"/>
        <w:spacing w:line="400" w:lineRule="atLeast"/>
        <w:ind w:firstLine="640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CB78CD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1-4月</w:t>
      </w:r>
      <w:r w:rsidRPr="00CB78CD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，全省邮政行业业务收入（不包括邮政储蓄银行直接营业收入）累计完成</w:t>
      </w:r>
      <w:r w:rsidRPr="00CB78CD">
        <w:rPr>
          <w:rFonts w:ascii="仿宋" w:eastAsia="仿宋" w:hAnsi="仿宋" w:cs="宋体" w:hint="eastAsia"/>
          <w:color w:val="333333"/>
          <w:kern w:val="0"/>
          <w:sz w:val="28"/>
          <w:szCs w:val="28"/>
        </w:rPr>
        <w:t>381.3</w:t>
      </w:r>
      <w:r w:rsidRPr="00CB78CD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亿元，同比增长15.2%。其中快递业务收入累计完成265.3亿元，同比增长13.8%。</w:t>
      </w:r>
    </w:p>
    <w:p w:rsidR="00CB78CD" w:rsidRPr="00CB78CD" w:rsidRDefault="00CB78CD" w:rsidP="00B46C0E">
      <w:pPr>
        <w:widowControl/>
        <w:shd w:val="clear" w:color="auto" w:fill="FFFFFF"/>
        <w:spacing w:line="400" w:lineRule="atLeast"/>
        <w:ind w:firstLine="640"/>
        <w:rPr>
          <w:rFonts w:ascii="仿宋" w:eastAsia="仿宋" w:hAnsi="仿宋" w:cs="宋体" w:hint="eastAsia"/>
          <w:color w:val="333333"/>
          <w:kern w:val="0"/>
          <w:sz w:val="28"/>
          <w:szCs w:val="28"/>
        </w:rPr>
      </w:pPr>
      <w:r w:rsidRPr="00CB78CD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4月份，全省邮政行业寄递业务量完成10.4亿件，同比增长53.7%。其中，快递业务量完成7.5亿件，同比增长57.0%。</w:t>
      </w:r>
    </w:p>
    <w:p w:rsidR="00CB78CD" w:rsidRPr="00CB78CD" w:rsidRDefault="00CB78CD" w:rsidP="00B46C0E">
      <w:pPr>
        <w:widowControl/>
        <w:shd w:val="clear" w:color="auto" w:fill="FFFFFF"/>
        <w:spacing w:line="400" w:lineRule="atLeast"/>
        <w:ind w:firstLine="640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CB78CD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4月份，全省邮政行业业务收入（不包括邮政储蓄银行直接营业收入）完成86.9亿元，同比增长43.6%。其中快递业务收入完成67.1亿元，同比增长48.0%。</w:t>
      </w:r>
    </w:p>
    <w:p w:rsidR="00CB78CD" w:rsidRPr="00CB78CD" w:rsidRDefault="00CB78CD" w:rsidP="00CB78CD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>
        <w:rPr>
          <w:rFonts w:ascii="Calibri" w:eastAsia="微软雅黑" w:hAnsi="Calibri" w:cs="宋体" w:hint="eastAsia"/>
          <w:color w:val="333333"/>
          <w:kern w:val="0"/>
          <w:szCs w:val="21"/>
        </w:rPr>
        <w:t xml:space="preserve">    </w:t>
      </w:r>
      <w:r w:rsidRPr="00CB78CD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03B61E6A" wp14:editId="1FEE9EB5">
            <wp:extent cx="4168140" cy="1769211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241" cy="181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CD" w:rsidRPr="00CB78CD" w:rsidRDefault="00CB78CD" w:rsidP="00B46C0E">
      <w:pPr>
        <w:widowControl/>
        <w:shd w:val="clear" w:color="auto" w:fill="FFFFFF"/>
        <w:spacing w:line="400" w:lineRule="atLeast"/>
        <w:ind w:firstLine="641"/>
        <w:rPr>
          <w:rFonts w:ascii="仿宋" w:eastAsia="仿宋" w:hAnsi="仿宋" w:cs="宋体"/>
          <w:color w:val="333333"/>
          <w:kern w:val="0"/>
          <w:sz w:val="28"/>
          <w:szCs w:val="28"/>
        </w:rPr>
      </w:pPr>
      <w:r w:rsidRPr="00CB78CD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t>1-4月，同城、异地、国际/港澳台快递业务量分别占全部快递业务量的9.2%、90.4%和0.4%；业务收入分别占全部快递收入的6.1%、61.7%和8.3%。与去年同期相比，同城快递业务量的比重下降了3.1</w:t>
      </w:r>
      <w:r w:rsidRPr="00CB78CD">
        <w:rPr>
          <w:rFonts w:ascii="仿宋" w:eastAsia="仿宋" w:hAnsi="仿宋" w:cs="宋体" w:hint="eastAsia"/>
          <w:color w:val="000000"/>
          <w:kern w:val="0"/>
          <w:sz w:val="28"/>
          <w:szCs w:val="28"/>
        </w:rPr>
        <w:lastRenderedPageBreak/>
        <w:t>个百分点，异地快递业务量的比重上升了3.1个百分点，国际/港澳台业务量的比重持平。</w:t>
      </w:r>
    </w:p>
    <w:p w:rsidR="00CB78CD" w:rsidRPr="00CB78CD" w:rsidRDefault="00CB78CD" w:rsidP="00CB78CD">
      <w:pPr>
        <w:widowControl/>
        <w:shd w:val="clear" w:color="auto" w:fill="FFFFFF"/>
        <w:spacing w:line="375" w:lineRule="atLeast"/>
        <w:jc w:val="left"/>
        <w:rPr>
          <w:rFonts w:ascii="Calibri" w:eastAsia="微软雅黑" w:hAnsi="Calibri" w:cs="宋体"/>
          <w:color w:val="333333"/>
          <w:kern w:val="0"/>
          <w:szCs w:val="21"/>
        </w:rPr>
      </w:pPr>
      <w:r>
        <w:rPr>
          <w:rFonts w:ascii="Calibri" w:eastAsia="微软雅黑" w:hAnsi="Calibri" w:cs="宋体" w:hint="eastAsia"/>
          <w:color w:val="333333"/>
          <w:kern w:val="0"/>
          <w:szCs w:val="21"/>
        </w:rPr>
        <w:t xml:space="preserve">   </w:t>
      </w:r>
      <w:r w:rsidRPr="00CB78CD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7CB96A39" wp14:editId="49DA8ED4">
            <wp:extent cx="4297680" cy="1693026"/>
            <wp:effectExtent l="0" t="0" r="762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31" cy="17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8CD" w:rsidRPr="00CB78CD" w:rsidRDefault="00CB78CD" w:rsidP="00CB78CD">
      <w:pPr>
        <w:widowControl/>
        <w:shd w:val="clear" w:color="auto" w:fill="FFFFFF"/>
        <w:spacing w:line="375" w:lineRule="atLeast"/>
        <w:rPr>
          <w:rFonts w:ascii="Calibri" w:eastAsia="微软雅黑" w:hAnsi="Calibri" w:cs="宋体" w:hint="eastAsia"/>
          <w:color w:val="333333"/>
          <w:kern w:val="0"/>
          <w:szCs w:val="21"/>
        </w:rPr>
      </w:pPr>
      <w:r>
        <w:rPr>
          <w:rFonts w:ascii="Calibri" w:eastAsia="微软雅黑" w:hAnsi="Calibri" w:cs="宋体" w:hint="eastAsia"/>
          <w:color w:val="333333"/>
          <w:kern w:val="0"/>
          <w:szCs w:val="21"/>
        </w:rPr>
        <w:t xml:space="preserve">      </w:t>
      </w:r>
      <w:r w:rsidRPr="00CB78CD">
        <w:rPr>
          <w:rFonts w:ascii="Calibri" w:eastAsia="微软雅黑" w:hAnsi="Calibri" w:cs="宋体"/>
          <w:noProof/>
          <w:color w:val="333333"/>
          <w:kern w:val="0"/>
          <w:szCs w:val="21"/>
        </w:rPr>
        <w:drawing>
          <wp:inline distT="0" distB="0" distL="0" distR="0" wp14:anchorId="702D02DE" wp14:editId="2CCFFD98">
            <wp:extent cx="4244340" cy="1768987"/>
            <wp:effectExtent l="0" t="0" r="381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439" cy="187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微软雅黑" w:hAnsi="Calibri" w:cs="宋体" w:hint="eastAsia"/>
          <w:color w:val="333333"/>
          <w:kern w:val="0"/>
          <w:szCs w:val="21"/>
        </w:rPr>
        <w:t xml:space="preserve"> </w:t>
      </w:r>
    </w:p>
    <w:p w:rsidR="00CB78CD" w:rsidRDefault="00CB78CD" w:rsidP="00CB78CD">
      <w:pPr>
        <w:widowControl/>
        <w:shd w:val="clear" w:color="auto" w:fill="FFFFFF"/>
        <w:spacing w:line="375" w:lineRule="atLeast"/>
        <w:ind w:firstLine="640"/>
        <w:rPr>
          <w:rFonts w:ascii="仿宋" w:eastAsia="仿宋" w:hAnsi="仿宋" w:cs="宋体"/>
          <w:color w:val="333333"/>
          <w:kern w:val="0"/>
          <w:sz w:val="24"/>
          <w:szCs w:val="24"/>
        </w:rPr>
      </w:pPr>
      <w:r w:rsidRPr="00CB78CD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1-4月，快递与包裹服务品牌集中度指数CR</w:t>
      </w:r>
      <w:r w:rsidRPr="00CB78CD">
        <w:rPr>
          <w:rFonts w:ascii="仿宋" w:eastAsia="仿宋" w:hAnsi="仿宋" w:cs="宋体" w:hint="eastAsia"/>
          <w:color w:val="333333"/>
          <w:kern w:val="0"/>
          <w:sz w:val="24"/>
          <w:szCs w:val="24"/>
          <w:vertAlign w:val="subscript"/>
        </w:rPr>
        <w:t>8</w:t>
      </w:r>
      <w:r w:rsidRPr="00CB78CD">
        <w:rPr>
          <w:rFonts w:ascii="仿宋" w:eastAsia="仿宋" w:hAnsi="仿宋" w:cs="宋体" w:hint="eastAsia"/>
          <w:color w:val="333333"/>
          <w:kern w:val="0"/>
          <w:sz w:val="24"/>
          <w:szCs w:val="24"/>
        </w:rPr>
        <w:t>为83.1。</w:t>
      </w:r>
      <w:bookmarkStart w:id="0" w:name="_GoBack"/>
      <w:bookmarkEnd w:id="0"/>
    </w:p>
    <w:p w:rsidR="00A02561" w:rsidRDefault="00A02561" w:rsidP="00B46C0E">
      <w:pPr>
        <w:widowControl/>
        <w:shd w:val="clear" w:color="auto" w:fill="FFFFFF"/>
        <w:spacing w:line="375" w:lineRule="atLeast"/>
        <w:ind w:firstLine="640"/>
        <w:jc w:val="center"/>
        <w:rPr>
          <w:rFonts w:ascii="宋体" w:eastAsia="宋体" w:hAnsi="宋体" w:cs="Times New Roman"/>
          <w:b/>
          <w:bCs/>
          <w:color w:val="000000"/>
          <w:kern w:val="0"/>
          <w:sz w:val="22"/>
        </w:rPr>
      </w:pPr>
    </w:p>
    <w:p w:rsidR="00A02561" w:rsidRDefault="00B46C0E" w:rsidP="00A02561">
      <w:pPr>
        <w:widowControl/>
        <w:shd w:val="clear" w:color="auto" w:fill="FFFFFF"/>
        <w:spacing w:line="375" w:lineRule="atLeast"/>
        <w:ind w:firstLine="640"/>
        <w:jc w:val="center"/>
        <w:rPr>
          <w:rFonts w:ascii="宋体" w:eastAsia="宋体" w:hAnsi="宋体" w:cs="Times New Roman" w:hint="eastAsia"/>
          <w:b/>
          <w:bCs/>
          <w:color w:val="000000"/>
          <w:kern w:val="0"/>
          <w:sz w:val="22"/>
        </w:rPr>
      </w:pPr>
      <w:r w:rsidRPr="00CB78CD">
        <w:rPr>
          <w:rFonts w:ascii="宋体" w:eastAsia="宋体" w:hAnsi="宋体" w:cs="Times New Roman" w:hint="eastAsia"/>
          <w:b/>
          <w:bCs/>
          <w:color w:val="000000"/>
          <w:kern w:val="0"/>
          <w:sz w:val="22"/>
        </w:rPr>
        <w:t>全省邮政行业发展情况表</w:t>
      </w:r>
    </w:p>
    <w:tbl>
      <w:tblPr>
        <w:tblW w:w="7960" w:type="dxa"/>
        <w:tblInd w:w="170" w:type="dxa"/>
        <w:tblLook w:val="04A0" w:firstRow="1" w:lastRow="0" w:firstColumn="1" w:lastColumn="0" w:noHBand="0" w:noVBand="1"/>
      </w:tblPr>
      <w:tblGrid>
        <w:gridCol w:w="2540"/>
        <w:gridCol w:w="960"/>
        <w:gridCol w:w="1180"/>
        <w:gridCol w:w="1080"/>
        <w:gridCol w:w="960"/>
        <w:gridCol w:w="1240"/>
      </w:tblGrid>
      <w:tr w:rsidR="00B46C0E" w:rsidRPr="00B46C0E" w:rsidTr="00B46C0E">
        <w:trPr>
          <w:trHeight w:val="288"/>
        </w:trPr>
        <w:tc>
          <w:tcPr>
            <w:tcW w:w="2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指标名称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7D7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4月</w:t>
            </w:r>
          </w:p>
        </w:tc>
        <w:tc>
          <w:tcPr>
            <w:tcW w:w="22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比去年同期增长（%）</w:t>
            </w:r>
          </w:p>
        </w:tc>
      </w:tr>
      <w:tr w:rsidR="00B46C0E" w:rsidRPr="00B46C0E" w:rsidTr="00B46C0E">
        <w:trPr>
          <w:trHeight w:val="276"/>
        </w:trPr>
        <w:tc>
          <w:tcPr>
            <w:tcW w:w="2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C0E" w:rsidRPr="00B46C0E" w:rsidRDefault="00B46C0E" w:rsidP="00B46C0E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6C0E" w:rsidRPr="00B46C0E" w:rsidRDefault="00B46C0E" w:rsidP="00B46C0E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当月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D7D7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当月</w:t>
            </w:r>
          </w:p>
        </w:tc>
      </w:tr>
      <w:tr w:rsidR="00B46C0E" w:rsidRPr="00B46C0E" w:rsidTr="00B46C0E">
        <w:trPr>
          <w:trHeight w:val="45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一、邮政行业寄递业务量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390795.0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103527.6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53.7</w:t>
            </w:r>
          </w:p>
        </w:tc>
      </w:tr>
      <w:tr w:rsidR="00B46C0E" w:rsidRPr="00B46C0E" w:rsidTr="00B46C0E">
        <w:trPr>
          <w:trHeight w:val="45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281633.2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75328.4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17.1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57.0</w:t>
            </w:r>
          </w:p>
        </w:tc>
      </w:tr>
      <w:tr w:rsidR="00B46C0E" w:rsidRPr="00B46C0E" w:rsidTr="00B46C0E">
        <w:trPr>
          <w:trHeight w:val="45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其中：同城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25950.0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6579.9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-12.3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23.3</w:t>
            </w:r>
          </w:p>
        </w:tc>
      </w:tr>
      <w:tr w:rsidR="00B46C0E" w:rsidRPr="00B46C0E" w:rsidTr="00B46C0E">
        <w:trPr>
          <w:trHeight w:val="45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异地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254688.8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68507.6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21.3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61.3</w:t>
            </w:r>
          </w:p>
        </w:tc>
      </w:tr>
      <w:tr w:rsidR="00B46C0E" w:rsidRPr="00B46C0E" w:rsidTr="00B46C0E">
        <w:trPr>
          <w:trHeight w:val="45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国际/港澳台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994.4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240.8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57.5</w:t>
            </w:r>
          </w:p>
        </w:tc>
      </w:tr>
      <w:tr w:rsidR="00B46C0E" w:rsidRPr="00B46C0E" w:rsidTr="00B46C0E">
        <w:trPr>
          <w:trHeight w:val="45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2.邮政公司寄递业务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109161.8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28199.2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11.8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45.5</w:t>
            </w:r>
          </w:p>
        </w:tc>
      </w:tr>
      <w:tr w:rsidR="00B46C0E" w:rsidRPr="00B46C0E" w:rsidTr="00B46C0E">
        <w:trPr>
          <w:trHeight w:val="45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二、邮政行业业务收入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381.3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86.9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43.6</w:t>
            </w:r>
          </w:p>
        </w:tc>
      </w:tr>
      <w:tr w:rsidR="00B46C0E" w:rsidRPr="00B46C0E" w:rsidTr="00B46C0E">
        <w:trPr>
          <w:trHeight w:val="45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其中：快递业务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265.3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67.1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13.8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48.0</w:t>
            </w:r>
          </w:p>
        </w:tc>
      </w:tr>
      <w:tr w:rsidR="00B46C0E" w:rsidRPr="00B46C0E" w:rsidTr="00B46C0E">
        <w:trPr>
          <w:trHeight w:val="456"/>
        </w:trPr>
        <w:tc>
          <w:tcPr>
            <w:tcW w:w="2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邮政公司寄递业务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15.1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right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3.8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8.5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46C0E" w:rsidRPr="00B46C0E" w:rsidRDefault="00B46C0E" w:rsidP="00B46C0E">
            <w:pPr>
              <w:widowControl/>
              <w:jc w:val="center"/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</w:pPr>
            <w:r w:rsidRPr="00B46C0E">
              <w:rPr>
                <w:rFonts w:ascii="仿宋" w:eastAsia="仿宋" w:hAnsi="仿宋" w:cs="宋体" w:hint="eastAsia"/>
                <w:color w:val="000000"/>
                <w:kern w:val="0"/>
                <w:sz w:val="20"/>
                <w:szCs w:val="20"/>
              </w:rPr>
              <w:t>74.8</w:t>
            </w:r>
          </w:p>
        </w:tc>
      </w:tr>
    </w:tbl>
    <w:p w:rsidR="00B46C0E" w:rsidRPr="00CB78CD" w:rsidRDefault="00B46C0E" w:rsidP="00B46C0E">
      <w:pPr>
        <w:widowControl/>
        <w:spacing w:line="480" w:lineRule="atLeast"/>
        <w:textAlignment w:val="top"/>
        <w:rPr>
          <w:rFonts w:ascii="Calibri" w:eastAsia="宋体" w:hAnsi="Calibri" w:cs="Times New Roman"/>
          <w:kern w:val="0"/>
          <w:szCs w:val="21"/>
        </w:rPr>
      </w:pPr>
      <w:r w:rsidRPr="00CB78CD">
        <w:rPr>
          <w:rFonts w:ascii="仿宋" w:eastAsia="仿宋" w:hAnsi="仿宋" w:cs="Times New Roman" w:hint="eastAsia"/>
          <w:b/>
          <w:bCs/>
          <w:color w:val="000000"/>
          <w:kern w:val="0"/>
          <w:sz w:val="20"/>
          <w:szCs w:val="20"/>
        </w:rPr>
        <w:t>注：邮政行业业务收入中未包括邮政储蓄银行直接营业收入。</w:t>
      </w:r>
    </w:p>
    <w:p w:rsidR="00B46C0E" w:rsidRPr="00CB78CD" w:rsidRDefault="00B46C0E" w:rsidP="00B46C0E">
      <w:pPr>
        <w:widowControl/>
        <w:shd w:val="clear" w:color="auto" w:fill="FFFFFF"/>
        <w:spacing w:line="375" w:lineRule="atLeast"/>
        <w:ind w:firstLine="640"/>
        <w:jc w:val="left"/>
        <w:rPr>
          <w:rFonts w:ascii="Calibri" w:eastAsia="微软雅黑" w:hAnsi="Calibri" w:cs="宋体" w:hint="eastAsia"/>
          <w:color w:val="333333"/>
          <w:kern w:val="0"/>
          <w:sz w:val="24"/>
          <w:szCs w:val="24"/>
        </w:rPr>
      </w:pPr>
    </w:p>
    <w:tbl>
      <w:tblPr>
        <w:tblW w:w="8767" w:type="dxa"/>
        <w:tblInd w:w="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7"/>
      </w:tblGrid>
      <w:tr w:rsidR="00CB78CD" w:rsidRPr="00CB78CD" w:rsidTr="00CB78CD">
        <w:trPr>
          <w:trHeight w:val="11928"/>
        </w:trPr>
        <w:tc>
          <w:tcPr>
            <w:tcW w:w="876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tbl>
            <w:tblPr>
              <w:tblW w:w="8361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816"/>
              <w:gridCol w:w="1103"/>
              <w:gridCol w:w="656"/>
              <w:gridCol w:w="1038"/>
              <w:gridCol w:w="994"/>
              <w:gridCol w:w="1214"/>
              <w:gridCol w:w="656"/>
              <w:gridCol w:w="749"/>
              <w:gridCol w:w="136"/>
              <w:gridCol w:w="917"/>
            </w:tblGrid>
            <w:tr w:rsidR="00CB78CD" w:rsidRPr="00CB78CD" w:rsidTr="00A02561">
              <w:trPr>
                <w:gridBefore w:val="1"/>
                <w:gridAfter w:val="2"/>
                <w:wBefore w:w="82" w:type="dxa"/>
                <w:wAfter w:w="1053" w:type="dxa"/>
                <w:trHeight w:val="437"/>
              </w:trPr>
              <w:tc>
                <w:tcPr>
                  <w:tcW w:w="7226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B78CD" w:rsidRPr="00CB78CD" w:rsidRDefault="00A02561" w:rsidP="00A02561">
                  <w:pPr>
                    <w:widowControl/>
                    <w:spacing w:line="480" w:lineRule="atLeast"/>
                    <w:jc w:val="center"/>
                    <w:textAlignment w:val="top"/>
                    <w:rPr>
                      <w:rFonts w:ascii="Calibri" w:eastAsia="宋体" w:hAnsi="Calibri" w:cs="Times New Roman"/>
                      <w:kern w:val="0"/>
                      <w:szCs w:val="21"/>
                    </w:rPr>
                  </w:pPr>
                  <w:r>
                    <w:rPr>
                      <w:rFonts w:ascii="宋体" w:eastAsia="宋体" w:hAnsi="宋体" w:cs="Times New Roman" w:hint="eastAsia"/>
                      <w:b/>
                      <w:bCs/>
                      <w:color w:val="000000"/>
                      <w:kern w:val="0"/>
                      <w:sz w:val="22"/>
                    </w:rPr>
                    <w:lastRenderedPageBreak/>
                    <w:t xml:space="preserve">      </w:t>
                  </w:r>
                  <w:r w:rsidR="00CB78CD" w:rsidRPr="00CB78CD">
                    <w:rPr>
                      <w:rFonts w:ascii="宋体" w:eastAsia="宋体" w:hAnsi="宋体" w:cs="Times New Roman" w:hint="eastAsia"/>
                      <w:b/>
                      <w:bCs/>
                      <w:color w:val="000000"/>
                      <w:kern w:val="0"/>
                      <w:sz w:val="22"/>
                    </w:rPr>
                    <w:t>分地市快递企业业务量和业务收入情况表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单位</w:t>
                  </w:r>
                </w:p>
              </w:tc>
              <w:tc>
                <w:tcPr>
                  <w:tcW w:w="3617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快递业务量</w:t>
                  </w:r>
                </w:p>
              </w:tc>
              <w:tc>
                <w:tcPr>
                  <w:tcW w:w="3672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快递业务收入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882"/>
              </w:trPr>
              <w:tc>
                <w:tcPr>
                  <w:tcW w:w="1072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left"/>
                    <w:rPr>
                      <w:rFonts w:ascii="仿宋" w:eastAsia="仿宋" w:hAnsi="仿宋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本年累计  （万件）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排名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同比增长（%）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占全省比重（%）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本年累计  （万元）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排名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同比增长（%）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占全省比重（%）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  <w:t>江苏省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  <w:t>281633.2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Calibri" w:eastAsia="等线" w:hAnsi="Calibri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Calibri" w:eastAsia="等线" w:hAnsi="Calibri" w:cs="宋体"/>
                      <w:color w:val="000000"/>
                      <w:kern w:val="0"/>
                      <w:sz w:val="22"/>
                    </w:rPr>
                    <w:t> 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  <w:t>17.1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  <w:t>100.0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  <w:t>2652714.6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Calibri" w:eastAsia="等线" w:hAnsi="Calibri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Calibri" w:eastAsia="等线" w:hAnsi="Calibri" w:cs="宋体"/>
                      <w:color w:val="000000"/>
                      <w:kern w:val="0"/>
                      <w:sz w:val="22"/>
                    </w:rPr>
                    <w:t> 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  <w:t>13.8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2"/>
                    </w:rPr>
                    <w:t>100.0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南京市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29990.8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12.7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10.6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323245.4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23.3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12.2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无锡市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26880.4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4.0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-4.7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9.5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318573.7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2.5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12.0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徐州市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19640.7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6.0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30.3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7.0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148406.8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6.0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27.8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5.6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常州市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12296.9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9.0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12.4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4.4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203326.6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5.0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18.0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7.7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苏州市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72308.7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17.0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25.7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781945.8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19.9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29.5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南通市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28226.2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14.4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10.0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214448.5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4.0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-4.5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8.1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连云港市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17587.6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7.0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42.0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6.2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102693.0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8.0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15.3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3.9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淮安市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12399.2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8.0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48.1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4.4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88206.8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11.0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28.9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3.3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盐城市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7964.8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13.0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30.6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2.8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70831.3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13.0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15.2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2.7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扬州市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11747.4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10.0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18.5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4.2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102326.5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9.0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10.9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3.9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镇江市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9595.8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11.0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26.5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3.4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99709.8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10.0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23.5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3.8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泰州市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8236.8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12.0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13.2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2.9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74058.3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12.0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13.7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2.8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41"/>
              </w:trPr>
              <w:tc>
                <w:tcPr>
                  <w:tcW w:w="1072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宿迁市</w:t>
                  </w:r>
                </w:p>
              </w:tc>
              <w:tc>
                <w:tcPr>
                  <w:tcW w:w="9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24758.0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5.0</w:t>
                  </w:r>
                </w:p>
              </w:tc>
              <w:tc>
                <w:tcPr>
                  <w:tcW w:w="1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14.7</w:t>
                  </w:r>
                </w:p>
              </w:tc>
              <w:tc>
                <w:tcPr>
                  <w:tcW w:w="9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8.8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124942.2</w:t>
                  </w:r>
                </w:p>
              </w:tc>
              <w:tc>
                <w:tcPr>
                  <w:tcW w:w="6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7.0</w:t>
                  </w:r>
                </w:p>
              </w:tc>
              <w:tc>
                <w:tcPr>
                  <w:tcW w:w="88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-7.4</w:t>
                  </w:r>
                </w:p>
              </w:tc>
              <w:tc>
                <w:tcPr>
                  <w:tcW w:w="9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center"/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</w:pPr>
                  <w:r w:rsidRPr="00A02561">
                    <w:rPr>
                      <w:rFonts w:ascii="仿宋" w:eastAsia="仿宋" w:hAnsi="仿宋" w:cs="宋体" w:hint="eastAsia"/>
                      <w:color w:val="000000"/>
                      <w:kern w:val="0"/>
                      <w:sz w:val="22"/>
                    </w:rPr>
                    <w:t>4.7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7"/>
              </w:trPr>
              <w:tc>
                <w:tcPr>
                  <w:tcW w:w="8361" w:type="dxa"/>
                  <w:gridSpan w:val="11"/>
                  <w:vMerge w:val="restart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left"/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</w:pPr>
                  <w:r w:rsidRPr="00A02561">
                    <w:rPr>
                      <w:rFonts w:ascii="仿宋" w:eastAsia="仿宋" w:hAnsi="仿宋" w:cs="宋体" w:hint="eastAsia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  <w:t>注：表格中的数据为四舍五入后的数据</w:t>
                  </w:r>
                </w:p>
              </w:tc>
            </w:tr>
            <w:tr w:rsidR="00A02561" w:rsidRPr="00A02561" w:rsidTr="00A02561">
              <w:tblPrEx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7"/>
              </w:trPr>
              <w:tc>
                <w:tcPr>
                  <w:tcW w:w="8361" w:type="dxa"/>
                  <w:gridSpan w:val="11"/>
                  <w:vMerge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02561" w:rsidRPr="00A02561" w:rsidRDefault="00A02561" w:rsidP="00A02561">
                  <w:pPr>
                    <w:widowControl/>
                    <w:jc w:val="left"/>
                    <w:rPr>
                      <w:rFonts w:ascii="仿宋" w:eastAsia="仿宋" w:hAnsi="仿宋" w:cs="宋体"/>
                      <w:b/>
                      <w:bCs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CB78CD" w:rsidRPr="00CB78CD" w:rsidRDefault="00CB78CD" w:rsidP="00CB78CD">
            <w:pPr>
              <w:widowControl/>
              <w:spacing w:line="480" w:lineRule="atLeast"/>
              <w:rPr>
                <w:rFonts w:ascii="Calibri" w:eastAsia="宋体" w:hAnsi="Calibri" w:cs="Times New Roman"/>
                <w:kern w:val="0"/>
                <w:szCs w:val="21"/>
              </w:rPr>
            </w:pPr>
          </w:p>
        </w:tc>
      </w:tr>
    </w:tbl>
    <w:p w:rsidR="00ED4D4E" w:rsidRPr="00CB78CD" w:rsidRDefault="00ED4D4E"/>
    <w:sectPr w:rsidR="00ED4D4E" w:rsidRPr="00CB78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8CD"/>
    <w:rsid w:val="00A02561"/>
    <w:rsid w:val="00B46C0E"/>
    <w:rsid w:val="00CB78CD"/>
    <w:rsid w:val="00ED4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6826F"/>
  <w15:chartTrackingRefBased/>
  <w15:docId w15:val="{EF283DD1-21AF-4B86-B052-CFCD26779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270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7131">
                  <w:marLeft w:val="6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136854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272</Words>
  <Characters>1555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2023-05-24T23:50:00Z</dcterms:created>
  <dcterms:modified xsi:type="dcterms:W3CDTF">2023-05-25T00:24:00Z</dcterms:modified>
</cp:coreProperties>
</file>