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center"/>
        <w:rPr>
          <w:rFonts w:hint="eastAsia" w:ascii="仿宋" w:hAnsi="仿宋" w:eastAsia="仿宋"/>
          <w:b/>
          <w:sz w:val="32"/>
          <w:szCs w:val="32"/>
        </w:rPr>
      </w:pPr>
    </w:p>
    <w:p>
      <w:pPr>
        <w:widowControl/>
        <w:spacing w:line="540" w:lineRule="exact"/>
        <w:jc w:val="both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/>
          <w:b/>
          <w:sz w:val="32"/>
          <w:szCs w:val="32"/>
        </w:rPr>
        <w:t>201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b/>
          <w:sz w:val="32"/>
          <w:szCs w:val="32"/>
        </w:rPr>
        <w:t>年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b/>
          <w:sz w:val="32"/>
          <w:szCs w:val="32"/>
        </w:rPr>
        <w:t>月江苏省邮政业消费者申诉情况通报</w:t>
      </w:r>
    </w:p>
    <w:p/>
    <w:p>
      <w:pPr>
        <w:widowControl/>
        <w:spacing w:line="560" w:lineRule="exact"/>
        <w:ind w:firstLine="714" w:firstLineChars="238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 xml:space="preserve">一、总体情况 </w:t>
      </w:r>
    </w:p>
    <w:p>
      <w:pPr>
        <w:widowControl/>
        <w:spacing w:line="560" w:lineRule="exact"/>
        <w:ind w:firstLine="714" w:firstLineChars="238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/>
          <w:sz w:val="30"/>
          <w:szCs w:val="30"/>
        </w:rPr>
        <w:t>月江苏省邮政管理局和各市邮政管理局通过“12305”邮政行业消费者申诉电话和申诉网站共受理消费者申诉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7212</w:t>
      </w:r>
      <w:r>
        <w:rPr>
          <w:rFonts w:hint="eastAsia" w:ascii="仿宋" w:hAnsi="仿宋" w:eastAsia="仿宋"/>
          <w:sz w:val="30"/>
          <w:szCs w:val="30"/>
        </w:rPr>
        <w:t>件。申诉中涉及邮政服务问题的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239</w:t>
      </w:r>
      <w:r>
        <w:rPr>
          <w:rFonts w:hint="eastAsia" w:ascii="仿宋" w:hAnsi="仿宋" w:eastAsia="仿宋"/>
          <w:sz w:val="30"/>
          <w:szCs w:val="30"/>
        </w:rPr>
        <w:t>件，占总申诉量的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％；涉及快递业务问题的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6973</w:t>
      </w:r>
      <w:r>
        <w:rPr>
          <w:rFonts w:hint="eastAsia" w:ascii="仿宋" w:hAnsi="仿宋" w:eastAsia="仿宋"/>
          <w:sz w:val="30"/>
          <w:szCs w:val="30"/>
        </w:rPr>
        <w:t>件，占总申诉量的9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/>
          <w:sz w:val="30"/>
          <w:szCs w:val="30"/>
        </w:rPr>
        <w:t>％。已处理申诉中有效申诉（确定企业责任的）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1470</w:t>
      </w:r>
      <w:r>
        <w:rPr>
          <w:rFonts w:hint="eastAsia" w:ascii="仿宋" w:hAnsi="仿宋" w:eastAsia="仿宋"/>
          <w:sz w:val="30"/>
          <w:szCs w:val="30"/>
        </w:rPr>
        <w:t>件，</w:t>
      </w:r>
      <w:r>
        <w:rPr>
          <w:rFonts w:hint="eastAsia" w:ascii="仿宋" w:hAnsi="仿宋" w:eastAsia="仿宋"/>
          <w:sz w:val="30"/>
          <w:szCs w:val="30"/>
          <w:lang w:eastAsia="zh-CN"/>
        </w:rPr>
        <w:t>比</w:t>
      </w:r>
      <w:r>
        <w:rPr>
          <w:rFonts w:hint="eastAsia" w:ascii="仿宋" w:hAnsi="仿宋" w:eastAsia="仿宋"/>
          <w:sz w:val="30"/>
          <w:szCs w:val="30"/>
        </w:rPr>
        <w:t>上年同</w:t>
      </w:r>
      <w:r>
        <w:rPr>
          <w:rFonts w:hint="eastAsia" w:ascii="仿宋" w:hAnsi="仿宋" w:eastAsia="仿宋"/>
          <w:sz w:val="30"/>
          <w:szCs w:val="30"/>
          <w:lang w:eastAsia="zh-CN"/>
        </w:rPr>
        <w:t>期下降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5.1%</w:t>
      </w:r>
      <w:r>
        <w:rPr>
          <w:rFonts w:hint="eastAsia" w:ascii="仿宋" w:hAnsi="仿宋" w:eastAsia="仿宋"/>
          <w:sz w:val="30"/>
          <w:szCs w:val="30"/>
        </w:rPr>
        <w:t>。有效申诉中涉及邮政服务问题的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90</w:t>
      </w:r>
      <w:r>
        <w:rPr>
          <w:rFonts w:hint="eastAsia" w:ascii="仿宋" w:hAnsi="仿宋" w:eastAsia="仿宋"/>
          <w:sz w:val="30"/>
          <w:szCs w:val="30"/>
        </w:rPr>
        <w:t>件，占有效申诉量的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/>
          <w:sz w:val="30"/>
          <w:szCs w:val="30"/>
        </w:rPr>
        <w:t>％；涉及快递业务问题的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1380</w:t>
      </w:r>
      <w:r>
        <w:rPr>
          <w:rFonts w:hint="eastAsia" w:ascii="仿宋" w:hAnsi="仿宋" w:eastAsia="仿宋"/>
          <w:sz w:val="30"/>
          <w:szCs w:val="30"/>
        </w:rPr>
        <w:t>件，占有效申诉量的9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/>
          <w:sz w:val="30"/>
          <w:szCs w:val="30"/>
        </w:rPr>
        <w:t>％。经调解消费者申诉已全部妥善处理，为消费者挽回经济损失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31.1</w:t>
      </w:r>
      <w:r>
        <w:rPr>
          <w:rFonts w:hint="eastAsia" w:ascii="仿宋" w:hAnsi="仿宋" w:eastAsia="仿宋"/>
          <w:sz w:val="30"/>
          <w:szCs w:val="30"/>
        </w:rPr>
        <w:t>万元，消费者对邮政管理部门申诉处理工作满意率为9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8.2</w:t>
      </w:r>
      <w:r>
        <w:rPr>
          <w:rFonts w:hint="eastAsia" w:ascii="仿宋" w:hAnsi="仿宋" w:eastAsia="仿宋"/>
          <w:sz w:val="30"/>
          <w:szCs w:val="30"/>
        </w:rPr>
        <w:t>％，对企业申诉处理结果满意率为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97.4</w:t>
      </w:r>
      <w:r>
        <w:rPr>
          <w:rFonts w:hint="eastAsia" w:ascii="仿宋" w:hAnsi="仿宋" w:eastAsia="仿宋"/>
          <w:sz w:val="30"/>
          <w:szCs w:val="30"/>
        </w:rPr>
        <w:t>％。</w:t>
      </w:r>
    </w:p>
    <w:p>
      <w:pPr>
        <w:widowControl/>
        <w:spacing w:line="56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</w:t>
      </w:r>
      <w:r>
        <w:rPr>
          <w:rFonts w:hint="eastAsia" w:ascii="仿宋" w:hAnsi="仿宋" w:eastAsia="仿宋"/>
          <w:sz w:val="30"/>
          <w:szCs w:val="30"/>
        </w:rPr>
        <w:t>201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/>
          <w:sz w:val="30"/>
          <w:szCs w:val="30"/>
        </w:rPr>
        <w:t>月消费者申诉</w:t>
      </w:r>
      <w:r>
        <w:rPr>
          <w:rFonts w:hint="eastAsia" w:ascii="仿宋" w:hAnsi="仿宋" w:eastAsia="仿宋"/>
          <w:sz w:val="30"/>
          <w:szCs w:val="30"/>
          <w:lang w:eastAsia="zh-CN"/>
        </w:rPr>
        <w:t>情况</w:t>
      </w:r>
      <w:r>
        <w:rPr>
          <w:rFonts w:hint="eastAsia" w:ascii="仿宋" w:hAnsi="仿宋" w:eastAsia="仿宋"/>
          <w:sz w:val="30"/>
          <w:szCs w:val="30"/>
        </w:rPr>
        <w:t>统计表</w:t>
      </w:r>
    </w:p>
    <w:tbl>
      <w:tblPr>
        <w:tblStyle w:val="8"/>
        <w:tblW w:w="93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1"/>
        <w:gridCol w:w="988"/>
        <w:gridCol w:w="928"/>
        <w:gridCol w:w="778"/>
        <w:gridCol w:w="845"/>
        <w:gridCol w:w="911"/>
        <w:gridCol w:w="983"/>
        <w:gridCol w:w="1167"/>
        <w:gridCol w:w="10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类别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本月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上月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环比%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去年同期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同比%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当年累计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去年同期累计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累计同比%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共处理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7212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6661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8.3 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5418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33.1 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63983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43460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47.2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其中：邮政服务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239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236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1.3 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111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115.3 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1870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980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90.8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快递业务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6973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6425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8.5 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5307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31.4 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62113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42480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46.2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申诉中   有效申诉：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1470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1213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21.2 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1549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-5.1 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15440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14666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5.3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邮政服务（有效）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90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53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69.8 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18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400.0 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550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183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200.5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快递业务（有效）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1380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1160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19.0 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1531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-9.9 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14890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14483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2.8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无效申诉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5742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5448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5.4 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3869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48.4 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48543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28794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68.6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邮政服务（无效）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149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183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-18.6 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93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60.2 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1320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797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65.6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快递业务（无效）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5593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5265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6.2 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3776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48.1 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47223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27997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68.7 </w:t>
            </w:r>
          </w:p>
        </w:tc>
      </w:tr>
    </w:tbl>
    <w:p>
      <w:pPr>
        <w:widowControl/>
        <w:spacing w:line="560" w:lineRule="exact"/>
        <w:rPr>
          <w:rFonts w:ascii="仿宋" w:hAnsi="仿宋" w:eastAsia="仿宋"/>
          <w:sz w:val="30"/>
          <w:szCs w:val="30"/>
        </w:rPr>
      </w:pPr>
    </w:p>
    <w:p>
      <w:pPr>
        <w:widowControl/>
        <w:spacing w:line="560" w:lineRule="exact"/>
        <w:rPr>
          <w:rFonts w:ascii="仿宋" w:hAnsi="仿宋" w:eastAsia="仿宋"/>
          <w:sz w:val="30"/>
          <w:szCs w:val="30"/>
        </w:rPr>
      </w:pPr>
    </w:p>
    <w:tbl>
      <w:tblPr>
        <w:tblStyle w:val="8"/>
        <w:tblW w:w="78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30"/>
        <w:gridCol w:w="3330"/>
        <w:gridCol w:w="27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90" w:type="dxa"/>
            <w:gridSpan w:val="3"/>
            <w:vAlign w:val="center"/>
          </w:tcPr>
          <w:p>
            <w:pPr>
              <w:widowControl/>
              <w:textAlignment w:val="center"/>
              <w:rPr>
                <w:rFonts w:ascii="Open Sans" w:hAnsi="Open Sans" w:eastAsia="Open Sans" w:cs="Open Sans"/>
                <w:b/>
                <w:color w:val="000000"/>
                <w:sz w:val="24"/>
                <w:szCs w:val="24"/>
              </w:rPr>
            </w:pPr>
            <w:r>
              <w:rPr>
                <w:rFonts w:hint="eastAsia" w:ascii="Open Sans" w:hAnsi="Open Sans" w:eastAsia="Open Sans" w:cs="Open Sans"/>
                <w:b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ascii="Open Sans" w:hAnsi="Open Sans" w:eastAsia="Open Sans" w:cs="Open Sans"/>
                <w:b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hint="eastAsia" w:ascii="Open Sans" w:hAnsi="Open Sans" w:eastAsia="Open Sans" w:cs="Open Sans"/>
                <w:b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ascii="Open Sans" w:hAnsi="Open Sans" w:eastAsia="Open Sans" w:cs="Open Sans"/>
                <w:b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Open Sans" w:hAnsi="Open Sans" w:eastAsia="Open Sans" w:cs="Open Sans"/>
                <w:b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Open Sans" w:hAnsi="Open Sans" w:cs="Open Sans"/>
                <w:b/>
                <w:color w:val="000000"/>
                <w:kern w:val="0"/>
                <w:sz w:val="24"/>
                <w:szCs w:val="24"/>
              </w:rPr>
              <w:t>月消</w:t>
            </w:r>
            <w:r>
              <w:rPr>
                <w:rFonts w:ascii="Open Sans" w:hAnsi="Open Sans" w:eastAsia="Open Sans" w:cs="Open Sans"/>
                <w:b/>
                <w:color w:val="000000"/>
                <w:kern w:val="0"/>
                <w:sz w:val="24"/>
                <w:szCs w:val="24"/>
              </w:rPr>
              <w:t>费者对主要企业申诉处理结果满意率统计表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</w:rPr>
              <w:t>本月申诉处理满意率%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Arial" w:hAnsi="Arial" w:eastAsia="宋体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  <w:lang w:val="en-US" w:eastAsia="zh-CN"/>
              </w:rPr>
              <w:t xml:space="preserve">          中国邮政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100.0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  <w:lang w:val="en-US" w:eastAsia="zh-CN"/>
              </w:rPr>
              <w:t>全一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100.0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Arial" w:hAnsi="Arial" w:eastAsia="宋体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  <w:lang w:val="en-US" w:eastAsia="zh-CN"/>
              </w:rPr>
              <w:t xml:space="preserve">            速尔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100.0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hint="eastAsia" w:ascii="Arial" w:hAnsi="Arial" w:cs="Arial"/>
                <w:color w:val="000000"/>
                <w:sz w:val="24"/>
                <w:szCs w:val="24"/>
                <w:lang w:val="en-US" w:eastAsia="zh-CN"/>
              </w:rPr>
              <w:t>TNT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100.0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Arial" w:hAnsi="Arial" w:eastAsia="宋体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Arial" w:hAnsi="Arial" w:cs="Arial"/>
                <w:color w:val="000000"/>
                <w:sz w:val="24"/>
                <w:szCs w:val="24"/>
                <w:lang w:eastAsia="zh-CN"/>
              </w:rPr>
              <w:t>如风达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100.0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  <w:lang w:val="en-US" w:eastAsia="zh-CN"/>
              </w:rPr>
              <w:t>递四方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  <w:lang w:val="en-US" w:eastAsia="zh-CN"/>
              </w:rPr>
              <w:t>100.0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Arial" w:hAnsi="Arial" w:eastAsia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Arial" w:hAnsi="Arial" w:cs="Arial"/>
                <w:color w:val="000000"/>
                <w:sz w:val="24"/>
                <w:szCs w:val="24"/>
                <w:lang w:eastAsia="zh-CN"/>
              </w:rPr>
              <w:t>中通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  <w:lang w:val="en-US" w:eastAsia="zh-CN"/>
              </w:rPr>
              <w:t xml:space="preserve"> 99.2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  <w:lang w:val="en-US" w:eastAsia="zh-CN"/>
              </w:rPr>
              <w:t>EMS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  <w:lang w:val="en-US" w:eastAsia="zh-CN"/>
              </w:rPr>
              <w:t xml:space="preserve"> 99.0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Arial" w:hAnsi="Arial" w:eastAsia="宋体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  <w:lang w:val="en-US" w:eastAsia="zh-CN"/>
              </w:rPr>
              <w:t xml:space="preserve">            国通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  <w:lang w:val="en-US" w:eastAsia="zh-CN"/>
              </w:rPr>
              <w:t xml:space="preserve"> 98.9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  <w:lang w:val="en-US" w:eastAsia="zh-CN"/>
              </w:rPr>
              <w:t>韵达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  <w:lang w:val="en-US" w:eastAsia="zh-CN"/>
              </w:rPr>
              <w:t xml:space="preserve"> 97.8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hint="eastAsia" w:ascii="Arial" w:hAnsi="Arial" w:cs="Arial"/>
                <w:color w:val="000000"/>
                <w:sz w:val="24"/>
                <w:szCs w:val="24"/>
                <w:lang w:val="en-US" w:eastAsia="zh-CN"/>
              </w:rPr>
              <w:t xml:space="preserve">   全峰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  <w:lang w:val="en-US" w:eastAsia="zh-CN"/>
              </w:rPr>
              <w:t>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  <w:lang w:eastAsia="zh-CN"/>
              </w:rPr>
              <w:t>宅急送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  <w:lang w:val="en-US" w:eastAsia="zh-CN"/>
              </w:rPr>
              <w:t>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  <w:lang w:eastAsia="zh-CN"/>
              </w:rPr>
              <w:t>快捷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  <w:lang w:val="en-US" w:eastAsia="zh-CN"/>
              </w:rPr>
              <w:t>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  <w:lang w:val="en-US" w:eastAsia="zh-CN"/>
              </w:rPr>
              <w:t>顺丰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  <w:lang w:val="en-US" w:eastAsia="zh-CN"/>
              </w:rPr>
              <w:t>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  <w:lang w:val="en-US" w:eastAsia="zh-CN"/>
              </w:rPr>
              <w:t>百世快递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  <w:lang w:val="en-US" w:eastAsia="zh-CN"/>
              </w:rPr>
              <w:t xml:space="preserve"> 97.0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  <w:lang w:eastAsia="zh-CN"/>
              </w:rPr>
              <w:t>圆通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  <w:lang w:val="en-US" w:eastAsia="zh-CN"/>
              </w:rPr>
              <w:t>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  <w:lang w:val="en-US" w:eastAsia="zh-CN"/>
              </w:rPr>
              <w:t>天天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  <w:lang w:val="en-US" w:eastAsia="zh-CN"/>
              </w:rPr>
              <w:t>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  <w:lang w:eastAsia="zh-CN"/>
              </w:rPr>
              <w:t>申通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  <w:lang w:val="en-US" w:eastAsia="zh-CN"/>
              </w:rPr>
              <w:t>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  <w:lang w:eastAsia="zh-CN"/>
              </w:rPr>
              <w:t>京东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  <w:lang w:val="en-US" w:eastAsia="zh-CN"/>
              </w:rPr>
              <w:t>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  <w:lang w:eastAsia="zh-CN"/>
              </w:rPr>
              <w:t>优速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  <w:lang w:val="en-US" w:eastAsia="zh-CN"/>
              </w:rPr>
              <w:t>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  <w:lang w:eastAsia="zh-CN"/>
              </w:rPr>
              <w:t>德邦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  <w:lang w:val="en-US" w:eastAsia="zh-CN"/>
              </w:rPr>
              <w:t xml:space="preserve"> 87.5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  <w:lang w:val="en-US" w:eastAsia="zh-CN"/>
              </w:rPr>
              <w:t xml:space="preserve"> 97.4</w:t>
            </w:r>
          </w:p>
        </w:tc>
      </w:tr>
    </w:tbl>
    <w:p>
      <w:pPr>
        <w:widowControl/>
        <w:spacing w:line="560" w:lineRule="exact"/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 xml:space="preserve"> </w:t>
      </w:r>
    </w:p>
    <w:p>
      <w:pPr>
        <w:widowControl/>
        <w:spacing w:line="560" w:lineRule="exact"/>
        <w:ind w:firstLine="750" w:firstLineChars="250"/>
        <w:rPr>
          <w:rFonts w:hint="eastAsia" w:ascii="仿宋" w:hAnsi="仿宋" w:eastAsia="仿宋"/>
          <w:b/>
          <w:bCs/>
          <w:sz w:val="30"/>
          <w:szCs w:val="30"/>
        </w:rPr>
      </w:pPr>
    </w:p>
    <w:p>
      <w:pPr>
        <w:widowControl/>
        <w:spacing w:line="560" w:lineRule="exact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/>
          <w:b/>
          <w:bCs/>
          <w:sz w:val="30"/>
          <w:szCs w:val="30"/>
        </w:rPr>
        <w:t>二、邮政服务申诉情况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/>
          <w:sz w:val="30"/>
          <w:szCs w:val="30"/>
        </w:rPr>
        <w:t>月，受理消费者关于邮政服务问题的有效申诉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90</w:t>
      </w:r>
      <w:r>
        <w:rPr>
          <w:rFonts w:hint="eastAsia" w:ascii="仿宋" w:hAnsi="仿宋" w:eastAsia="仿宋"/>
          <w:sz w:val="30"/>
          <w:szCs w:val="30"/>
        </w:rPr>
        <w:t>件，环比</w:t>
      </w:r>
      <w:r>
        <w:rPr>
          <w:rFonts w:hint="eastAsia" w:ascii="仿宋" w:hAnsi="仿宋" w:eastAsia="仿宋"/>
          <w:sz w:val="30"/>
          <w:szCs w:val="30"/>
          <w:lang w:eastAsia="zh-CN"/>
        </w:rPr>
        <w:t>增加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69.8</w:t>
      </w:r>
      <w:r>
        <w:rPr>
          <w:rFonts w:hint="eastAsia" w:ascii="仿宋" w:hAnsi="仿宋" w:eastAsia="仿宋"/>
          <w:sz w:val="30"/>
          <w:szCs w:val="30"/>
        </w:rPr>
        <w:t>%</w:t>
      </w:r>
      <w:r>
        <w:rPr>
          <w:rFonts w:hint="eastAsia" w:ascii="仿宋" w:hAnsi="仿宋" w:eastAsia="仿宋"/>
          <w:sz w:val="30"/>
          <w:szCs w:val="30"/>
          <w:lang w:eastAsia="zh-CN"/>
        </w:rPr>
        <w:t>，同比增长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400%</w:t>
      </w:r>
      <w:r>
        <w:rPr>
          <w:rFonts w:hint="eastAsia" w:ascii="仿宋" w:hAnsi="仿宋" w:eastAsia="仿宋"/>
          <w:sz w:val="30"/>
          <w:szCs w:val="30"/>
        </w:rPr>
        <w:t>。</w:t>
      </w:r>
    </w:p>
    <w:p/>
    <w:p/>
    <w:p>
      <w:r>
        <w:rPr>
          <w:rFonts w:ascii="Times New Roman" w:hAnsi="Times New Roman" w:eastAsia="宋体" w:cs="Times New Roman"/>
          <w:kern w:val="2"/>
          <w:sz w:val="21"/>
          <w:lang w:val="en-US" w:eastAsia="zh-CN" w:bidi="ar-SA"/>
        </w:rPr>
        <w:pict>
          <v:shape id="_x0000_i1025" o:spt="75" type="#_x0000_t75" style="height:178.05pt;width:441.7pt;" fillcolor="#FFFFFF" filled="f" o:preferrelative="t" stroked="f" coordsize="21600,21600">
            <v:path/>
            <v:fill on="f" color2="#FFFFFF" focussize="0,0"/>
            <v:stroke on="f"/>
            <v:imagedata r:id="rId4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/>
        <w:spacing w:line="560" w:lineRule="exact"/>
        <w:rPr>
          <w:rFonts w:ascii="仿宋" w:hAnsi="仿宋" w:eastAsia="仿宋"/>
          <w:b/>
          <w:bCs/>
          <w:sz w:val="30"/>
          <w:szCs w:val="30"/>
        </w:rPr>
      </w:pPr>
    </w:p>
    <w:p>
      <w:pPr>
        <w:widowControl/>
        <w:spacing w:line="560" w:lineRule="exact"/>
        <w:rPr>
          <w:rFonts w:ascii="仿宋" w:hAnsi="仿宋" w:eastAsia="仿宋"/>
          <w:b/>
          <w:bCs/>
          <w:sz w:val="30"/>
          <w:szCs w:val="30"/>
        </w:rPr>
      </w:pPr>
    </w:p>
    <w:p>
      <w:pPr>
        <w:widowControl/>
        <w:spacing w:line="560" w:lineRule="exact"/>
        <w:rPr>
          <w:rFonts w:ascii="仿宋" w:hAnsi="仿宋" w:eastAsia="仿宋"/>
          <w:b/>
          <w:bCs/>
          <w:sz w:val="30"/>
          <w:szCs w:val="30"/>
        </w:rPr>
      </w:pPr>
    </w:p>
    <w:p>
      <w:pPr>
        <w:widowControl/>
        <w:spacing w:line="560" w:lineRule="exact"/>
        <w:rPr>
          <w:rFonts w:ascii="仿宋" w:hAnsi="仿宋" w:eastAsia="仿宋"/>
          <w:b/>
          <w:bCs/>
          <w:sz w:val="30"/>
          <w:szCs w:val="30"/>
        </w:rPr>
      </w:pPr>
    </w:p>
    <w:tbl>
      <w:tblPr>
        <w:tblStyle w:val="8"/>
        <w:tblW w:w="845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2"/>
        <w:gridCol w:w="1340"/>
        <w:gridCol w:w="1100"/>
        <w:gridCol w:w="1040"/>
        <w:gridCol w:w="900"/>
        <w:gridCol w:w="1120"/>
        <w:gridCol w:w="920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</w:trPr>
        <w:tc>
          <w:tcPr>
            <w:tcW w:w="845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2016年7月消费者申诉邮政服务的主要问题及所占比例统计表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序</w:t>
            </w:r>
          </w:p>
          <w:p>
            <w:pPr>
              <w:widowControl/>
              <w:jc w:val="center"/>
              <w:textAlignment w:val="center"/>
              <w:rPr>
                <w:rFonts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号</w:t>
            </w:r>
          </w:p>
        </w:tc>
        <w:tc>
          <w:tcPr>
            <w:tcW w:w="2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申诉问题</w:t>
            </w: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申诉件数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占比例%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环比增长%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同比增长%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2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延误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函件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8.9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14.3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1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丢失短少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函件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30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34</w:t>
            </w:r>
          </w:p>
        </w:tc>
        <w:tc>
          <w:tcPr>
            <w:tcW w:w="11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37.8</w:t>
            </w:r>
          </w:p>
        </w:tc>
        <w:tc>
          <w:tcPr>
            <w:tcW w:w="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183.3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1600.0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包件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集邮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1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投递服务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函件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28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31</w:t>
            </w:r>
          </w:p>
        </w:tc>
        <w:tc>
          <w:tcPr>
            <w:tcW w:w="11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34.4</w:t>
            </w:r>
          </w:p>
        </w:tc>
        <w:tc>
          <w:tcPr>
            <w:tcW w:w="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14.8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287.5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包件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集邮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1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损毁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函件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11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4.4</w:t>
            </w:r>
          </w:p>
        </w:tc>
        <w:tc>
          <w:tcPr>
            <w:tcW w:w="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100.0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包件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</w:t>
            </w:r>
          </w:p>
        </w:tc>
        <w:tc>
          <w:tcPr>
            <w:tcW w:w="1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收寄服务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函件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11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12</w:t>
            </w:r>
          </w:p>
        </w:tc>
        <w:tc>
          <w:tcPr>
            <w:tcW w:w="11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13.3</w:t>
            </w:r>
          </w:p>
        </w:tc>
        <w:tc>
          <w:tcPr>
            <w:tcW w:w="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300.0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包件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其他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集邮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1.1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-50.0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合计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90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100.0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69.8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400.0</w:t>
            </w:r>
          </w:p>
        </w:tc>
      </w:tr>
    </w:tbl>
    <w:p>
      <w:pPr>
        <w:widowControl/>
        <w:spacing w:line="560" w:lineRule="exact"/>
        <w:rPr>
          <w:rFonts w:ascii="仿宋" w:hAnsi="仿宋" w:eastAsia="仿宋"/>
          <w:b/>
          <w:bCs/>
          <w:sz w:val="30"/>
          <w:szCs w:val="30"/>
        </w:rPr>
      </w:pPr>
    </w:p>
    <w:p>
      <w:pPr>
        <w:widowControl/>
        <w:spacing w:line="560" w:lineRule="exact"/>
        <w:ind w:firstLine="594" w:firstLineChars="198"/>
        <w:rPr>
          <w:rFonts w:ascii="仿宋" w:hAnsi="仿宋" w:eastAsia="仿宋"/>
          <w:bCs/>
          <w:sz w:val="30"/>
          <w:szCs w:val="30"/>
        </w:rPr>
      </w:pPr>
    </w:p>
    <w:p>
      <w:pPr>
        <w:widowControl/>
        <w:spacing w:line="560" w:lineRule="exact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 xml:space="preserve">   </w:t>
      </w:r>
    </w:p>
    <w:p/>
    <w:p>
      <w:r>
        <w:rPr>
          <w:rFonts w:ascii="Times New Roman" w:hAnsi="Times New Roman" w:eastAsia="宋体" w:cs="Times New Roman"/>
          <w:kern w:val="2"/>
          <w:sz w:val="21"/>
          <w:lang w:val="en-US" w:eastAsia="zh-CN" w:bidi="ar-SA"/>
        </w:rPr>
        <w:pict>
          <v:shape id="_x0000_i1027" o:spt="75" type="#_x0000_t75" style="height:178.05pt;width:441.7pt;" fillcolor="#FFFFFF" filled="f" o:preferrelative="t" stroked="f" coordsize="21600,21600">
            <v:path/>
            <v:fill on="f" color2="#FFFFFF" focussize="0,0"/>
            <v:stroke on="f"/>
            <v:imagedata r:id="rId5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/>
        <w:spacing w:line="560" w:lineRule="exac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 xml:space="preserve">    201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/>
          <w:bCs/>
          <w:sz w:val="30"/>
          <w:szCs w:val="30"/>
        </w:rPr>
        <w:t>年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/>
          <w:bCs/>
          <w:sz w:val="30"/>
          <w:szCs w:val="30"/>
        </w:rPr>
        <w:t>月，邮政业务的丢失短少、</w:t>
      </w:r>
      <w:r>
        <w:rPr>
          <w:rFonts w:hint="eastAsia" w:ascii="仿宋" w:hAnsi="仿宋" w:eastAsia="仿宋"/>
          <w:bCs/>
          <w:sz w:val="30"/>
          <w:szCs w:val="30"/>
          <w:lang w:eastAsia="zh-CN"/>
        </w:rPr>
        <w:t>延误、损毁、投递服务、收寄服务和其他问题</w:t>
      </w:r>
      <w:r>
        <w:rPr>
          <w:rFonts w:hint="eastAsia" w:ascii="仿宋" w:hAnsi="仿宋" w:eastAsia="仿宋"/>
          <w:bCs/>
          <w:sz w:val="30"/>
          <w:szCs w:val="30"/>
        </w:rPr>
        <w:t>同比呈增长趋势，分别增长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1600.0</w:t>
      </w:r>
      <w:r>
        <w:rPr>
          <w:rFonts w:hint="eastAsia" w:ascii="仿宋" w:hAnsi="仿宋" w:eastAsia="仿宋"/>
          <w:bCs/>
          <w:sz w:val="30"/>
          <w:szCs w:val="30"/>
        </w:rPr>
        <w:t>%、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700.0%、300.0%、287.5%、100.0%和100.0</w:t>
      </w:r>
      <w:r>
        <w:rPr>
          <w:rFonts w:hint="eastAsia" w:ascii="仿宋" w:hAnsi="仿宋" w:eastAsia="仿宋"/>
          <w:bCs/>
          <w:sz w:val="30"/>
          <w:szCs w:val="30"/>
        </w:rPr>
        <w:t>%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.</w:t>
      </w:r>
    </w:p>
    <w:p>
      <w:pPr>
        <w:widowControl/>
        <w:spacing w:line="560" w:lineRule="exact"/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 xml:space="preserve">  </w:t>
      </w:r>
    </w:p>
    <w:p>
      <w:pPr>
        <w:widowControl/>
        <w:spacing w:line="560" w:lineRule="exact"/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 xml:space="preserve">   </w:t>
      </w:r>
    </w:p>
    <w:p>
      <w:pPr>
        <w:widowControl/>
        <w:spacing w:line="560" w:lineRule="exact"/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</w:pPr>
    </w:p>
    <w:p>
      <w:pPr>
        <w:widowControl/>
        <w:spacing w:line="560" w:lineRule="exact"/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 xml:space="preserve"> </w:t>
      </w:r>
    </w:p>
    <w:p>
      <w:pPr>
        <w:widowControl/>
        <w:spacing w:line="560" w:lineRule="exact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/>
          <w:b/>
          <w:bCs/>
          <w:sz w:val="30"/>
          <w:szCs w:val="30"/>
        </w:rPr>
        <w:t>三、快递业务申诉情况</w:t>
      </w:r>
    </w:p>
    <w:p>
      <w:pPr>
        <w:widowControl/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（一）消费者申诉的主要问题</w:t>
      </w:r>
    </w:p>
    <w:p>
      <w:pPr>
        <w:widowControl/>
        <w:spacing w:afterLines="50"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/>
          <w:sz w:val="30"/>
          <w:szCs w:val="30"/>
        </w:rPr>
        <w:t>月，受理消费者关于快递业务的有效申诉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1380</w:t>
      </w:r>
      <w:r>
        <w:rPr>
          <w:rFonts w:hint="eastAsia" w:ascii="仿宋" w:hAnsi="仿宋" w:eastAsia="仿宋"/>
          <w:sz w:val="30"/>
          <w:szCs w:val="30"/>
        </w:rPr>
        <w:t>件，环比</w:t>
      </w:r>
      <w:r>
        <w:rPr>
          <w:rFonts w:hint="eastAsia" w:ascii="仿宋" w:hAnsi="仿宋" w:eastAsia="仿宋"/>
          <w:sz w:val="30"/>
          <w:szCs w:val="30"/>
          <w:lang w:eastAsia="zh-CN"/>
        </w:rPr>
        <w:t>增长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19</w:t>
      </w:r>
      <w:r>
        <w:rPr>
          <w:rFonts w:hint="eastAsia" w:ascii="仿宋" w:hAnsi="仿宋" w:eastAsia="仿宋"/>
          <w:sz w:val="30"/>
          <w:szCs w:val="30"/>
        </w:rPr>
        <w:t>％，同比</w:t>
      </w:r>
      <w:r>
        <w:rPr>
          <w:rFonts w:hint="eastAsia" w:ascii="仿宋" w:hAnsi="仿宋" w:eastAsia="仿宋"/>
          <w:sz w:val="30"/>
          <w:szCs w:val="30"/>
          <w:lang w:eastAsia="zh-CN"/>
        </w:rPr>
        <w:t>下降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9.9</w:t>
      </w:r>
      <w:r>
        <w:rPr>
          <w:rFonts w:hint="eastAsia" w:ascii="仿宋" w:hAnsi="仿宋" w:eastAsia="仿宋"/>
          <w:sz w:val="30"/>
          <w:szCs w:val="30"/>
        </w:rPr>
        <w:t>％。</w:t>
      </w:r>
    </w:p>
    <w:p>
      <w:pPr>
        <w:widowControl/>
        <w:spacing w:afterLines="50" w:line="560" w:lineRule="exact"/>
        <w:rPr>
          <w:rFonts w:hint="eastAsia" w:ascii="仿宋" w:hAnsi="仿宋" w:eastAsia="仿宋"/>
          <w:sz w:val="30"/>
          <w:szCs w:val="30"/>
        </w:rPr>
      </w:pPr>
    </w:p>
    <w:p>
      <w:r>
        <w:rPr>
          <w:rFonts w:ascii="Times New Roman" w:hAnsi="Times New Roman" w:eastAsia="宋体" w:cs="Times New Roman"/>
          <w:kern w:val="2"/>
          <w:sz w:val="21"/>
          <w:lang w:val="en-US" w:eastAsia="zh-CN" w:bidi="ar-SA"/>
        </w:rPr>
        <w:pict>
          <v:shape id="_x0000_i1028" o:spt="75" type="#_x0000_t75" style="height:178.05pt;width:441.7pt;" fillcolor="#FFFFFF" filled="f" o:preferrelative="t" stroked="f" coordsize="21600,21600">
            <v:path/>
            <v:fill on="f" color2="#FFFFFF" focussize="0,0"/>
            <v:stroke on="f"/>
            <v:imagedata r:id="rId6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/>
        <w:spacing w:line="360" w:lineRule="exact"/>
        <w:rPr>
          <w:rFonts w:ascii="仿宋" w:hAnsi="仿宋" w:eastAsia="仿宋"/>
          <w:b/>
          <w:sz w:val="30"/>
          <w:szCs w:val="30"/>
        </w:rPr>
      </w:pPr>
    </w:p>
    <w:p>
      <w:pPr>
        <w:widowControl/>
        <w:spacing w:line="360" w:lineRule="exact"/>
        <w:rPr>
          <w:rFonts w:ascii="仿宋" w:hAnsi="仿宋" w:eastAsia="仿宋"/>
          <w:b/>
          <w:sz w:val="30"/>
          <w:szCs w:val="30"/>
        </w:rPr>
      </w:pPr>
    </w:p>
    <w:p>
      <w:pPr>
        <w:widowControl/>
        <w:spacing w:line="360" w:lineRule="exact"/>
        <w:rPr>
          <w:rFonts w:ascii="仿宋" w:hAnsi="仿宋" w:eastAsia="仿宋"/>
          <w:b/>
          <w:sz w:val="30"/>
          <w:szCs w:val="30"/>
        </w:rPr>
      </w:pPr>
    </w:p>
    <w:tbl>
      <w:tblPr>
        <w:tblStyle w:val="8"/>
        <w:tblW w:w="979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4"/>
        <w:gridCol w:w="948"/>
        <w:gridCol w:w="840"/>
        <w:gridCol w:w="880"/>
        <w:gridCol w:w="840"/>
        <w:gridCol w:w="880"/>
        <w:gridCol w:w="720"/>
        <w:gridCol w:w="860"/>
        <w:gridCol w:w="1120"/>
        <w:gridCol w:w="1160"/>
        <w:gridCol w:w="11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792" w:type="dxa"/>
            <w:gridSpan w:val="11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-SA"/>
              </w:rPr>
              <w:t>7月消费者申诉的快递业务主要问题及所占比例统计表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092" w:type="dxa"/>
            <w:gridSpan w:val="4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序号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申诉问题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本月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比例%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上月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环比%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去年同期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同比%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本年累计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去年累计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累计同比%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延误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249 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18.0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158 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57.6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182 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36.8 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2919 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2355 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23.9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75" w:hRule="atLeast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丢失短少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247 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17.9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192 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28.6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271 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-8.9 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3260 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3204 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1.7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投递服务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632 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45.8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585 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8.0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762 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-17.1 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6696 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7111 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-5.8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损毁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178 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12.9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159 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11.9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202 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-11.9 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1357 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1218 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11.4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收寄服务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58 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4.2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48 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20.8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98 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-40.8 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458 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487 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-6.0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违规收费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6 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0.4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7 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-14.3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10 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-40.0 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71 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74 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-4.1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代收货款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5 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0.4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6 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-16.7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6 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-16.7 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98 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20 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390.0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其他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5 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0.4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5 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500.0 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31 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14 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121.4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合计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1380 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100.0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1160 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19.0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1531 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-9.9 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14890 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14483 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2.8 </w:t>
            </w:r>
          </w:p>
        </w:tc>
      </w:tr>
    </w:tbl>
    <w:p/>
    <w:p/>
    <w:p/>
    <w:p>
      <w:r>
        <w:rPr>
          <w:rFonts w:ascii="Times New Roman" w:hAnsi="Times New Roman" w:eastAsia="宋体" w:cs="Times New Roman"/>
          <w:kern w:val="2"/>
          <w:sz w:val="21"/>
          <w:lang w:val="en-US" w:eastAsia="zh-CN" w:bidi="ar-SA"/>
        </w:rPr>
        <w:pict>
          <v:shape id="_x0000_i1029" o:spt="75" type="#_x0000_t75" style="height:178.05pt;width:441.7pt;" fillcolor="#FFFFFF" filled="f" o:preferrelative="t" stroked="f" coordsize="21600,21600">
            <v:path/>
            <v:fill on="f" color2="#FFFFFF" focussize="0,0"/>
            <v:stroke on="f"/>
            <v:imagedata r:id="rId7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/>
        <w:spacing w:line="540" w:lineRule="exact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</w:t>
      </w:r>
    </w:p>
    <w:p>
      <w:pPr>
        <w:widowControl/>
        <w:spacing w:line="540" w:lineRule="exact"/>
        <w:rPr>
          <w:rFonts w:hint="eastAsia" w:ascii="仿宋" w:hAnsi="仿宋" w:eastAsia="仿宋"/>
          <w:sz w:val="30"/>
          <w:szCs w:val="30"/>
          <w:lang w:val="en-US" w:eastAsia="zh-CN"/>
        </w:rPr>
      </w:pPr>
    </w:p>
    <w:p>
      <w:pPr>
        <w:widowControl/>
        <w:spacing w:line="540" w:lineRule="exact"/>
        <w:rPr>
          <w:rFonts w:hint="eastAsia" w:ascii="仿宋" w:hAnsi="仿宋" w:eastAsia="仿宋"/>
          <w:sz w:val="30"/>
          <w:szCs w:val="30"/>
          <w:lang w:val="en-US" w:eastAsia="zh-CN"/>
        </w:rPr>
      </w:pPr>
    </w:p>
    <w:p>
      <w:pPr>
        <w:widowControl/>
        <w:spacing w:line="54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201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/>
          <w:sz w:val="30"/>
          <w:szCs w:val="30"/>
        </w:rPr>
        <w:t>月，快件</w:t>
      </w:r>
      <w:r>
        <w:rPr>
          <w:rFonts w:hint="eastAsia" w:ascii="仿宋" w:hAnsi="仿宋" w:eastAsia="仿宋"/>
          <w:sz w:val="30"/>
          <w:szCs w:val="30"/>
          <w:lang w:eastAsia="zh-CN"/>
        </w:rPr>
        <w:t>违规收费和代收货款方面的申诉环比增长幅度均呈下降趋势。</w:t>
      </w:r>
    </w:p>
    <w:p>
      <w:pPr>
        <w:widowControl/>
        <w:spacing w:line="560" w:lineRule="exac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</w:t>
      </w:r>
    </w:p>
    <w:p>
      <w:pPr>
        <w:widowControl/>
        <w:spacing w:line="56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（二）消费者对快递企业申诉情况</w:t>
      </w:r>
    </w:p>
    <w:p>
      <w:pPr>
        <w:widowControl/>
        <w:spacing w:line="560" w:lineRule="atLeast"/>
        <w:ind w:firstLine="450" w:firstLineChars="15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/>
          <w:sz w:val="30"/>
          <w:szCs w:val="30"/>
        </w:rPr>
        <w:t>月，消费者对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19</w:t>
      </w:r>
      <w:r>
        <w:rPr>
          <w:rFonts w:hint="eastAsia" w:ascii="仿宋" w:hAnsi="仿宋" w:eastAsia="仿宋"/>
          <w:sz w:val="30"/>
          <w:szCs w:val="30"/>
        </w:rPr>
        <w:t>家快递企业进行了有效申诉，</w:t>
      </w:r>
      <w:r>
        <w:rPr>
          <w:rFonts w:eastAsia="方正仿宋简体"/>
          <w:kern w:val="0"/>
          <w:sz w:val="32"/>
          <w:szCs w:val="32"/>
        </w:rPr>
        <w:t>全省快递业务平均百万件快件有效申诉率为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6.29</w:t>
      </w:r>
      <w:r>
        <w:rPr>
          <w:rFonts w:hint="eastAsia" w:eastAsia="方正仿宋简体"/>
          <w:kern w:val="0"/>
          <w:sz w:val="32"/>
          <w:szCs w:val="32"/>
        </w:rPr>
        <w:t>，</w:t>
      </w:r>
      <w:r>
        <w:rPr>
          <w:rFonts w:hint="eastAsia" w:ascii="仿宋" w:hAnsi="仿宋" w:eastAsia="仿宋"/>
          <w:sz w:val="30"/>
          <w:szCs w:val="30"/>
        </w:rPr>
        <w:t>环比百万件快件</w:t>
      </w:r>
      <w:r>
        <w:rPr>
          <w:rFonts w:hint="eastAsia" w:ascii="仿宋" w:hAnsi="仿宋" w:eastAsia="仿宋"/>
          <w:sz w:val="30"/>
          <w:szCs w:val="30"/>
          <w:lang w:eastAsia="zh-CN"/>
        </w:rPr>
        <w:t>增加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1.3</w:t>
      </w:r>
      <w:r>
        <w:rPr>
          <w:rFonts w:hint="eastAsia" w:ascii="仿宋" w:hAnsi="仿宋" w:eastAsia="仿宋"/>
          <w:sz w:val="30"/>
          <w:szCs w:val="30"/>
        </w:rPr>
        <w:t>件，同比</w:t>
      </w:r>
      <w:r>
        <w:rPr>
          <w:rFonts w:hint="eastAsia" w:ascii="仿宋" w:hAnsi="仿宋" w:eastAsia="仿宋"/>
          <w:sz w:val="30"/>
          <w:szCs w:val="30"/>
          <w:lang w:eastAsia="zh-CN"/>
        </w:rPr>
        <w:t>减少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2.3</w:t>
      </w:r>
      <w:r>
        <w:rPr>
          <w:rFonts w:hint="eastAsia" w:ascii="仿宋" w:hAnsi="仿宋" w:eastAsia="仿宋"/>
          <w:sz w:val="30"/>
          <w:szCs w:val="30"/>
        </w:rPr>
        <w:t>件，高于全省平均申诉率的快递企业有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12</w:t>
      </w:r>
      <w:r>
        <w:rPr>
          <w:rFonts w:hint="eastAsia" w:ascii="仿宋" w:hAnsi="仿宋" w:eastAsia="仿宋"/>
          <w:sz w:val="30"/>
          <w:szCs w:val="30"/>
        </w:rPr>
        <w:t>家。全省快递业务平均百万件快件投递服务申诉率为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2.88</w:t>
      </w:r>
      <w:r>
        <w:rPr>
          <w:rFonts w:hint="eastAsia" w:ascii="仿宋" w:hAnsi="仿宋" w:eastAsia="仿宋"/>
          <w:sz w:val="30"/>
          <w:szCs w:val="30"/>
        </w:rPr>
        <w:t>，百万件快件丢失损毁申诉率为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1.94</w:t>
      </w:r>
      <w:r>
        <w:rPr>
          <w:rFonts w:hint="eastAsia" w:ascii="仿宋" w:hAnsi="仿宋" w:eastAsia="仿宋"/>
          <w:sz w:val="30"/>
          <w:szCs w:val="30"/>
        </w:rPr>
        <w:t>，百万件快件延误申诉率为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1.13</w:t>
      </w:r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widowControl/>
        <w:spacing w:line="54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widowControl/>
        <w:spacing w:line="54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widowControl/>
        <w:spacing w:line="54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 w:cs="宋体"/>
          <w:sz w:val="24"/>
          <w:szCs w:val="24"/>
        </w:rPr>
      </w:pPr>
    </w:p>
    <w:p>
      <w:pPr>
        <w:widowControl/>
        <w:spacing w:line="560" w:lineRule="atLeast"/>
        <w:jc w:val="left"/>
        <w:rPr>
          <w:rFonts w:ascii="仿宋" w:hAnsi="仿宋" w:eastAsia="仿宋" w:cs="宋体"/>
          <w:sz w:val="24"/>
          <w:szCs w:val="24"/>
        </w:rPr>
      </w:pPr>
      <w:r>
        <w:rPr>
          <w:rFonts w:ascii="Times New Roman" w:hAnsi="Times New Roman" w:eastAsia="宋体" w:cs="Times New Roman"/>
          <w:kern w:val="2"/>
          <w:sz w:val="21"/>
          <w:lang w:val="en-US" w:eastAsia="zh-CN" w:bidi="ar-SA"/>
        </w:rPr>
        <w:pict>
          <v:shape id="_x0000_i1030" o:spt="75" type="#_x0000_t75" style="height:178.05pt;width:441.7pt;" fillcolor="#FFFFFF" filled="f" o:preferrelative="t" stroked="f" coordsize="21600,21600">
            <v:path/>
            <v:fill on="f" color2="#FFFFFF" focussize="0,0"/>
            <v:stroke on="f"/>
            <v:imagedata r:id="rId8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rFonts w:ascii="仿宋" w:hAnsi="仿宋" w:eastAsia="仿宋" w:cs="宋体"/>
          <w:sz w:val="24"/>
          <w:szCs w:val="24"/>
        </w:rPr>
      </w:pPr>
    </w:p>
    <w:p>
      <w:pPr>
        <w:adjustRightInd w:val="0"/>
        <w:snapToGrid w:val="0"/>
        <w:jc w:val="both"/>
        <w:rPr>
          <w:rFonts w:hint="eastAsia" w:ascii="方正小标宋简体" w:hAnsi="仿宋" w:eastAsia="方正小标宋简体" w:cs="宋体"/>
          <w:sz w:val="30"/>
          <w:szCs w:val="30"/>
          <w:lang w:val="en-US" w:eastAsia="zh-CN"/>
        </w:rPr>
      </w:pPr>
      <w:r>
        <w:rPr>
          <w:rFonts w:hint="eastAsia" w:ascii="方正小标宋简体" w:hAnsi="仿宋" w:eastAsia="方正小标宋简体" w:cs="宋体"/>
          <w:sz w:val="30"/>
          <w:szCs w:val="30"/>
          <w:lang w:val="en-US" w:eastAsia="zh-CN"/>
        </w:rPr>
        <w:t xml:space="preserve">         </w:t>
      </w:r>
    </w:p>
    <w:p>
      <w:pPr>
        <w:adjustRightInd w:val="0"/>
        <w:snapToGrid w:val="0"/>
        <w:jc w:val="both"/>
        <w:rPr>
          <w:rFonts w:hint="eastAsia" w:ascii="方正小标宋简体" w:hAnsi="仿宋" w:eastAsia="方正小标宋简体" w:cs="宋体"/>
          <w:sz w:val="30"/>
          <w:szCs w:val="30"/>
          <w:lang w:val="en-US" w:eastAsia="zh-CN"/>
        </w:rPr>
      </w:pPr>
    </w:p>
    <w:p>
      <w:pPr>
        <w:adjustRightInd w:val="0"/>
        <w:snapToGrid w:val="0"/>
        <w:jc w:val="both"/>
        <w:rPr>
          <w:rFonts w:hint="eastAsia" w:ascii="方正小标宋简体" w:hAnsi="仿宋" w:eastAsia="方正小标宋简体" w:cs="宋体"/>
          <w:sz w:val="30"/>
          <w:szCs w:val="30"/>
          <w:lang w:val="en-US" w:eastAsia="zh-CN"/>
        </w:rPr>
      </w:pPr>
    </w:p>
    <w:p>
      <w:pPr>
        <w:adjustRightInd w:val="0"/>
        <w:snapToGrid w:val="0"/>
        <w:jc w:val="both"/>
        <w:rPr>
          <w:rFonts w:hint="eastAsia" w:ascii="方正小标宋简体" w:hAnsi="仿宋" w:eastAsia="方正小标宋简体" w:cs="宋体"/>
          <w:sz w:val="30"/>
          <w:szCs w:val="30"/>
          <w:lang w:val="en-US" w:eastAsia="zh-CN"/>
        </w:rPr>
      </w:pPr>
    </w:p>
    <w:p>
      <w:pPr>
        <w:adjustRightInd w:val="0"/>
        <w:snapToGrid w:val="0"/>
        <w:jc w:val="both"/>
        <w:rPr>
          <w:rFonts w:hint="eastAsia" w:ascii="方正小标宋简体" w:hAnsi="仿宋" w:eastAsia="方正小标宋简体" w:cs="宋体"/>
          <w:sz w:val="30"/>
          <w:szCs w:val="30"/>
        </w:rPr>
      </w:pPr>
      <w:r>
        <w:rPr>
          <w:rFonts w:hint="eastAsia" w:ascii="方正小标宋简体" w:hAnsi="仿宋" w:eastAsia="方正小标宋简体" w:cs="宋体"/>
          <w:sz w:val="30"/>
          <w:szCs w:val="30"/>
          <w:lang w:val="en-US" w:eastAsia="zh-CN"/>
        </w:rPr>
        <w:t xml:space="preserve">        </w:t>
      </w:r>
      <w:r>
        <w:rPr>
          <w:rFonts w:hint="eastAsia" w:ascii="方正小标宋简体" w:hAnsi="仿宋" w:eastAsia="方正小标宋简体" w:cs="宋体"/>
          <w:sz w:val="30"/>
          <w:szCs w:val="30"/>
        </w:rPr>
        <w:t>201</w:t>
      </w:r>
      <w:r>
        <w:rPr>
          <w:rFonts w:hint="eastAsia" w:ascii="方正小标宋简体" w:hAnsi="仿宋" w:eastAsia="方正小标宋简体" w:cs="宋体"/>
          <w:sz w:val="30"/>
          <w:szCs w:val="30"/>
          <w:lang w:val="en-US" w:eastAsia="zh-CN"/>
        </w:rPr>
        <w:t>6</w:t>
      </w:r>
      <w:r>
        <w:rPr>
          <w:rFonts w:hint="eastAsia" w:ascii="方正小标宋简体" w:hAnsi="仿宋" w:eastAsia="方正小标宋简体" w:cs="宋体"/>
          <w:sz w:val="30"/>
          <w:szCs w:val="30"/>
        </w:rPr>
        <w:t>年</w:t>
      </w:r>
      <w:r>
        <w:rPr>
          <w:rFonts w:hint="eastAsia" w:ascii="方正小标宋简体" w:hAnsi="仿宋" w:eastAsia="方正小标宋简体" w:cs="宋体"/>
          <w:sz w:val="30"/>
          <w:szCs w:val="30"/>
          <w:lang w:val="en-US" w:eastAsia="zh-CN"/>
        </w:rPr>
        <w:t>7</w:t>
      </w:r>
      <w:r>
        <w:rPr>
          <w:rFonts w:hint="eastAsia" w:ascii="方正小标宋简体" w:hAnsi="仿宋" w:eastAsia="方正小标宋简体" w:cs="宋体"/>
          <w:sz w:val="30"/>
          <w:szCs w:val="30"/>
        </w:rPr>
        <w:t>月主要快递企业有效申诉率统计表</w:t>
      </w:r>
    </w:p>
    <w:p>
      <w:pPr>
        <w:adjustRightInd w:val="0"/>
        <w:snapToGrid w:val="0"/>
        <w:spacing w:afterLines="50"/>
        <w:jc w:val="center"/>
        <w:rPr>
          <w:rFonts w:hint="eastAsia" w:ascii="方正小标宋简体" w:hAnsi="仿宋" w:eastAsia="方正小标宋简体" w:cs="宋体"/>
          <w:sz w:val="30"/>
          <w:szCs w:val="30"/>
        </w:rPr>
      </w:pPr>
      <w:r>
        <w:rPr>
          <w:rFonts w:hint="eastAsia" w:ascii="楷体_GB2312" w:hAnsi="仿宋" w:eastAsia="楷体_GB2312" w:cs="宋体"/>
          <w:sz w:val="30"/>
          <w:szCs w:val="30"/>
        </w:rPr>
        <w:t>单位：件有效申诉/百万快件</w:t>
      </w:r>
    </w:p>
    <w:tbl>
      <w:tblPr>
        <w:tblStyle w:val="8"/>
        <w:tblW w:w="90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1216"/>
        <w:gridCol w:w="984"/>
        <w:gridCol w:w="1198"/>
        <w:gridCol w:w="1224"/>
        <w:gridCol w:w="1588"/>
        <w:gridCol w:w="15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225" w:type="dxa"/>
            <w:vMerge w:val="restart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黑体" w:hAnsi="仿宋" w:eastAsia="黑体" w:cs="宋体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sz w:val="24"/>
                <w:szCs w:val="24"/>
              </w:rPr>
              <w:t>企业名称</w:t>
            </w:r>
          </w:p>
        </w:tc>
        <w:tc>
          <w:tcPr>
            <w:tcW w:w="121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仿宋" w:eastAsia="黑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黑体" w:hAnsi="仿宋" w:eastAsia="黑体" w:cs="宋体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sz w:val="24"/>
                <w:szCs w:val="24"/>
              </w:rPr>
              <w:t>201</w:t>
            </w:r>
            <w:r>
              <w:rPr>
                <w:rFonts w:hint="eastAsia" w:ascii="黑体" w:hAnsi="仿宋" w:eastAsia="黑体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黑体" w:hAnsi="仿宋" w:eastAsia="黑体" w:cs="宋体"/>
                <w:sz w:val="24"/>
                <w:szCs w:val="24"/>
              </w:rPr>
              <w:t>年</w:t>
            </w:r>
            <w:r>
              <w:rPr>
                <w:rFonts w:hint="eastAsia" w:ascii="黑体" w:hAnsi="仿宋" w:eastAsia="黑体" w:cs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黑体" w:hAnsi="仿宋" w:eastAsia="黑体" w:cs="宋体"/>
                <w:sz w:val="24"/>
                <w:szCs w:val="24"/>
              </w:rPr>
              <w:t>月申诉率</w:t>
            </w:r>
          </w:p>
        </w:tc>
        <w:tc>
          <w:tcPr>
            <w:tcW w:w="3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黑体" w:hAnsi="仿宋" w:eastAsia="黑体" w:cs="宋体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sz w:val="24"/>
                <w:szCs w:val="24"/>
              </w:rPr>
              <w:t>其中</w:t>
            </w:r>
          </w:p>
        </w:tc>
        <w:tc>
          <w:tcPr>
            <w:tcW w:w="158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" w:lineRule="atLeast"/>
              <w:jc w:val="both"/>
              <w:rPr>
                <w:rFonts w:hint="eastAsia" w:ascii="黑体" w:hAnsi="仿宋" w:eastAsia="黑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0" w:lineRule="atLeast"/>
              <w:jc w:val="both"/>
              <w:rPr>
                <w:rFonts w:hint="eastAsia" w:ascii="黑体" w:hAnsi="仿宋" w:eastAsia="黑体" w:cs="宋体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仿宋" w:eastAsia="黑体" w:cs="宋体"/>
                <w:sz w:val="24"/>
                <w:szCs w:val="24"/>
              </w:rPr>
              <w:t>当年累计</w:t>
            </w:r>
          </w:p>
          <w:p>
            <w:pPr>
              <w:adjustRightInd w:val="0"/>
              <w:snapToGrid w:val="0"/>
              <w:spacing w:line="20" w:lineRule="atLeast"/>
              <w:jc w:val="both"/>
              <w:rPr>
                <w:rFonts w:hint="eastAsia" w:ascii="黑体" w:hAnsi="仿宋" w:eastAsia="黑体" w:cs="宋体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仿宋" w:eastAsia="黑体" w:cs="宋体"/>
                <w:sz w:val="24"/>
                <w:szCs w:val="24"/>
              </w:rPr>
              <w:t>申诉率</w:t>
            </w:r>
          </w:p>
        </w:tc>
        <w:tc>
          <w:tcPr>
            <w:tcW w:w="1587" w:type="dxa"/>
            <w:vMerge w:val="restart"/>
            <w:tcBorders>
              <w:lef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0" w:lineRule="atLeast"/>
              <w:jc w:val="left"/>
              <w:rPr>
                <w:rFonts w:hint="eastAsia" w:ascii="黑体" w:hAnsi="仿宋" w:eastAsia="黑体" w:cs="宋体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20" w:lineRule="atLeast"/>
              <w:jc w:val="left"/>
              <w:rPr>
                <w:rFonts w:hint="eastAsia" w:ascii="黑体" w:hAnsi="仿宋" w:eastAsia="黑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仿宋" w:eastAsia="黑体" w:cs="宋体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adjustRightInd w:val="0"/>
              <w:snapToGrid w:val="0"/>
              <w:spacing w:line="20" w:lineRule="atLeast"/>
              <w:jc w:val="left"/>
              <w:rPr>
                <w:rFonts w:hint="eastAsia" w:ascii="黑体" w:hAnsi="仿宋" w:eastAsia="黑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仿宋" w:eastAsia="黑体" w:cs="宋体"/>
                <w:sz w:val="24"/>
                <w:szCs w:val="24"/>
                <w:lang w:val="en-US" w:eastAsia="zh-CN"/>
              </w:rPr>
              <w:t xml:space="preserve">  环 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25" w:type="dxa"/>
            <w:vMerge w:val="continue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1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黑体" w:hAnsi="仿宋" w:eastAsia="黑体" w:cs="宋体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sz w:val="24"/>
                <w:szCs w:val="24"/>
              </w:rPr>
              <w:t>延误申诉率</w:t>
            </w:r>
          </w:p>
        </w:tc>
        <w:tc>
          <w:tcPr>
            <w:tcW w:w="119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黑体" w:hAnsi="仿宋" w:eastAsia="黑体" w:cs="宋体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sz w:val="24"/>
                <w:szCs w:val="24"/>
              </w:rPr>
              <w:t>丢失损毁申诉率</w:t>
            </w:r>
          </w:p>
        </w:tc>
        <w:tc>
          <w:tcPr>
            <w:tcW w:w="122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黑体" w:hAnsi="仿宋" w:eastAsia="黑体" w:cs="宋体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sz w:val="24"/>
                <w:szCs w:val="24"/>
              </w:rPr>
              <w:t>投递服务申诉率</w:t>
            </w:r>
          </w:p>
        </w:tc>
        <w:tc>
          <w:tcPr>
            <w:tcW w:w="158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" w:lineRule="atLeast"/>
              <w:jc w:val="both"/>
              <w:rPr>
                <w:rFonts w:hint="eastAsia" w:ascii="黑体" w:hAnsi="仿宋" w:eastAsia="黑体" w:cs="宋体"/>
                <w:sz w:val="24"/>
                <w:szCs w:val="24"/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0" w:lineRule="atLeast"/>
              <w:jc w:val="left"/>
              <w:rPr>
                <w:rFonts w:hint="eastAsia" w:ascii="黑体" w:hAnsi="仿宋" w:eastAsia="黑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5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全一</w:t>
            </w:r>
          </w:p>
        </w:tc>
        <w:tc>
          <w:tcPr>
            <w:tcW w:w="121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42.35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23.53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18.82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14.48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25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国通</w:t>
            </w:r>
          </w:p>
        </w:tc>
        <w:tc>
          <w:tcPr>
            <w:tcW w:w="121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34.66</w:t>
            </w:r>
          </w:p>
        </w:tc>
        <w:tc>
          <w:tcPr>
            <w:tcW w:w="984" w:type="dxa"/>
            <w:vAlign w:val="center"/>
          </w:tcPr>
          <w:p>
            <w:pPr>
              <w:jc w:val="both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 xml:space="preserve">  9.50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7.27</w:t>
            </w:r>
          </w:p>
        </w:tc>
        <w:tc>
          <w:tcPr>
            <w:tcW w:w="1224" w:type="dxa"/>
            <w:vAlign w:val="center"/>
          </w:tcPr>
          <w:p>
            <w:pPr>
              <w:jc w:val="both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 xml:space="preserve">  17.33</w:t>
            </w:r>
          </w:p>
        </w:tc>
        <w:tc>
          <w:tcPr>
            <w:tcW w:w="1588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38.72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25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全峰</w:t>
            </w:r>
          </w:p>
        </w:tc>
        <w:tc>
          <w:tcPr>
            <w:tcW w:w="1216" w:type="dxa"/>
            <w:vAlign w:val="center"/>
          </w:tcPr>
          <w:p>
            <w:pPr>
              <w:tabs>
                <w:tab w:val="center" w:pos="579"/>
              </w:tabs>
              <w:adjustRightInd w:val="0"/>
              <w:snapToGrid w:val="0"/>
              <w:spacing w:line="20" w:lineRule="atLeast"/>
              <w:jc w:val="both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 xml:space="preserve">  30.19</w:t>
            </w:r>
          </w:p>
        </w:tc>
        <w:tc>
          <w:tcPr>
            <w:tcW w:w="984" w:type="dxa"/>
            <w:vAlign w:val="center"/>
          </w:tcPr>
          <w:p>
            <w:pPr>
              <w:jc w:val="both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 xml:space="preserve">  8.58</w:t>
            </w:r>
          </w:p>
        </w:tc>
        <w:tc>
          <w:tcPr>
            <w:tcW w:w="1198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7.40</w:t>
            </w:r>
          </w:p>
        </w:tc>
        <w:tc>
          <w:tcPr>
            <w:tcW w:w="1224" w:type="dxa"/>
            <w:vAlign w:val="center"/>
          </w:tcPr>
          <w:p>
            <w:pPr>
              <w:jc w:val="both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 xml:space="preserve">  13.62</w:t>
            </w:r>
          </w:p>
        </w:tc>
        <w:tc>
          <w:tcPr>
            <w:tcW w:w="1588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23.49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602" w:hRule="atLeast"/>
        </w:trPr>
        <w:tc>
          <w:tcPr>
            <w:tcW w:w="1225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both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 xml:space="preserve"> 宅急送</w:t>
            </w:r>
          </w:p>
        </w:tc>
        <w:tc>
          <w:tcPr>
            <w:tcW w:w="121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both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 xml:space="preserve">  29.41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 xml:space="preserve"> 9.29</w:t>
            </w:r>
          </w:p>
        </w:tc>
        <w:tc>
          <w:tcPr>
            <w:tcW w:w="1198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7.74</w:t>
            </w:r>
          </w:p>
        </w:tc>
        <w:tc>
          <w:tcPr>
            <w:tcW w:w="1224" w:type="dxa"/>
            <w:vAlign w:val="center"/>
          </w:tcPr>
          <w:p>
            <w:pPr>
              <w:jc w:val="both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 xml:space="preserve">  11.61</w:t>
            </w:r>
          </w:p>
        </w:tc>
        <w:tc>
          <w:tcPr>
            <w:tcW w:w="1588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36.08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25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both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 xml:space="preserve">  天天</w:t>
            </w:r>
          </w:p>
        </w:tc>
        <w:tc>
          <w:tcPr>
            <w:tcW w:w="121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both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 xml:space="preserve">  17.80</w:t>
            </w:r>
          </w:p>
        </w:tc>
        <w:tc>
          <w:tcPr>
            <w:tcW w:w="984" w:type="dxa"/>
            <w:vAlign w:val="center"/>
          </w:tcPr>
          <w:p>
            <w:pPr>
              <w:jc w:val="both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 xml:space="preserve">  3.75</w:t>
            </w:r>
          </w:p>
        </w:tc>
        <w:tc>
          <w:tcPr>
            <w:tcW w:w="1198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6.56</w:t>
            </w:r>
          </w:p>
        </w:tc>
        <w:tc>
          <w:tcPr>
            <w:tcW w:w="1224" w:type="dxa"/>
            <w:vAlign w:val="center"/>
          </w:tcPr>
          <w:p>
            <w:pPr>
              <w:jc w:val="both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 xml:space="preserve">   6.46</w:t>
            </w:r>
          </w:p>
        </w:tc>
        <w:tc>
          <w:tcPr>
            <w:tcW w:w="1588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22.88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25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both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 xml:space="preserve">  TNT</w:t>
            </w:r>
          </w:p>
        </w:tc>
        <w:tc>
          <w:tcPr>
            <w:tcW w:w="121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both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 xml:space="preserve">  13.40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1198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13.40</w:t>
            </w:r>
          </w:p>
        </w:tc>
        <w:tc>
          <w:tcPr>
            <w:tcW w:w="1224" w:type="dxa"/>
            <w:vAlign w:val="center"/>
          </w:tcPr>
          <w:p>
            <w:pPr>
              <w:jc w:val="both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 xml:space="preserve">    0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2.23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225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both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 xml:space="preserve">  快捷</w:t>
            </w:r>
          </w:p>
        </w:tc>
        <w:tc>
          <w:tcPr>
            <w:tcW w:w="121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9.70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1.96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3.12</w:t>
            </w:r>
          </w:p>
        </w:tc>
        <w:tc>
          <w:tcPr>
            <w:tcW w:w="1224" w:type="dxa"/>
            <w:vAlign w:val="center"/>
          </w:tcPr>
          <w:p>
            <w:pPr>
              <w:jc w:val="both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 xml:space="preserve">   3.93</w:t>
            </w:r>
          </w:p>
        </w:tc>
        <w:tc>
          <w:tcPr>
            <w:tcW w:w="1588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19.15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225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申通</w:t>
            </w:r>
          </w:p>
        </w:tc>
        <w:tc>
          <w:tcPr>
            <w:tcW w:w="121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both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 xml:space="preserve">  7.93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0.58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2.68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 xml:space="preserve"> 4.31 </w:t>
            </w:r>
          </w:p>
        </w:tc>
        <w:tc>
          <w:tcPr>
            <w:tcW w:w="1588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15.71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25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百世快递</w:t>
            </w:r>
          </w:p>
        </w:tc>
        <w:tc>
          <w:tcPr>
            <w:tcW w:w="121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both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 xml:space="preserve">  7.64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2.05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2.86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2.30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9.89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94" w:hRule="atLeast"/>
        </w:trPr>
        <w:tc>
          <w:tcPr>
            <w:tcW w:w="1225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优速</w:t>
            </w:r>
          </w:p>
        </w:tc>
        <w:tc>
          <w:tcPr>
            <w:tcW w:w="121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7.62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0.59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3.32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3.52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12.66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225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速尔</w:t>
            </w:r>
          </w:p>
        </w:tc>
        <w:tc>
          <w:tcPr>
            <w:tcW w:w="121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7.41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1.06</w:t>
            </w:r>
          </w:p>
        </w:tc>
        <w:tc>
          <w:tcPr>
            <w:tcW w:w="1198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2.12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3.70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12.84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25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德邦</w:t>
            </w:r>
          </w:p>
        </w:tc>
        <w:tc>
          <w:tcPr>
            <w:tcW w:w="121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7.14</w:t>
            </w:r>
          </w:p>
        </w:tc>
        <w:tc>
          <w:tcPr>
            <w:tcW w:w="984" w:type="dxa"/>
            <w:vAlign w:val="center"/>
          </w:tcPr>
          <w:p>
            <w:pPr>
              <w:jc w:val="both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 xml:space="preserve"> 1.02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1.02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4.08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9.20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225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both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 xml:space="preserve">   EMS</w:t>
            </w:r>
          </w:p>
        </w:tc>
        <w:tc>
          <w:tcPr>
            <w:tcW w:w="121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5.12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1.13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1.30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2.39</w:t>
            </w:r>
          </w:p>
        </w:tc>
        <w:tc>
          <w:tcPr>
            <w:tcW w:w="1588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4.97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25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京东</w:t>
            </w:r>
          </w:p>
        </w:tc>
        <w:tc>
          <w:tcPr>
            <w:tcW w:w="121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5.07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0.24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0.72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4.11</w:t>
            </w:r>
          </w:p>
        </w:tc>
        <w:tc>
          <w:tcPr>
            <w:tcW w:w="1588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2.65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25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韵达</w:t>
            </w:r>
          </w:p>
        </w:tc>
        <w:tc>
          <w:tcPr>
            <w:tcW w:w="121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4.49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0.84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1.04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2.42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14.39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14" w:hRule="atLeast"/>
        </w:trPr>
        <w:tc>
          <w:tcPr>
            <w:tcW w:w="1225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中通</w:t>
            </w:r>
          </w:p>
        </w:tc>
        <w:tc>
          <w:tcPr>
            <w:tcW w:w="121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4.20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0.21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1.34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2.29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9.77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25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both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 xml:space="preserve">  圆通</w:t>
            </w:r>
          </w:p>
        </w:tc>
        <w:tc>
          <w:tcPr>
            <w:tcW w:w="121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4.13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0.37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1.30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2.20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10.95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225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顺丰</w:t>
            </w:r>
          </w:p>
        </w:tc>
        <w:tc>
          <w:tcPr>
            <w:tcW w:w="121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1.42</w:t>
            </w:r>
          </w:p>
        </w:tc>
        <w:tc>
          <w:tcPr>
            <w:tcW w:w="984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0.53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0.40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0.28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1.72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25" w:type="dxa"/>
            <w:vAlign w:val="center"/>
          </w:tcPr>
          <w:p>
            <w:pPr>
              <w:tabs>
                <w:tab w:val="left" w:pos="233"/>
              </w:tabs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苏宁易购</w:t>
            </w:r>
          </w:p>
        </w:tc>
        <w:tc>
          <w:tcPr>
            <w:tcW w:w="121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0.14</w:t>
            </w:r>
          </w:p>
        </w:tc>
        <w:tc>
          <w:tcPr>
            <w:tcW w:w="984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0.14</w:t>
            </w:r>
          </w:p>
        </w:tc>
        <w:tc>
          <w:tcPr>
            <w:tcW w:w="1198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24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0.19</w:t>
            </w:r>
          </w:p>
        </w:tc>
        <w:tc>
          <w:tcPr>
            <w:tcW w:w="1587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25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全省合计</w:t>
            </w:r>
          </w:p>
        </w:tc>
        <w:tc>
          <w:tcPr>
            <w:tcW w:w="121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6.29</w:t>
            </w:r>
          </w:p>
        </w:tc>
        <w:tc>
          <w:tcPr>
            <w:tcW w:w="984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1.13</w:t>
            </w:r>
          </w:p>
        </w:tc>
        <w:tc>
          <w:tcPr>
            <w:tcW w:w="1198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1.94</w:t>
            </w:r>
          </w:p>
        </w:tc>
        <w:tc>
          <w:tcPr>
            <w:tcW w:w="1224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2.88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10.59</w:t>
            </w:r>
          </w:p>
        </w:tc>
        <w:tc>
          <w:tcPr>
            <w:tcW w:w="1587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↑</w:t>
            </w:r>
          </w:p>
        </w:tc>
      </w:tr>
    </w:tbl>
    <w:p>
      <w:pPr>
        <w:spacing w:line="20" w:lineRule="atLeast"/>
        <w:rPr>
          <w:rFonts w:ascii="仿宋" w:hAnsi="仿宋" w:eastAsia="仿宋" w:cs="宋体"/>
          <w:sz w:val="18"/>
          <w:szCs w:val="24"/>
        </w:rPr>
      </w:pPr>
    </w:p>
    <w:p>
      <w:pPr>
        <w:spacing w:line="20" w:lineRule="atLeast"/>
        <w:rPr>
          <w:rFonts w:ascii="仿宋" w:hAnsi="仿宋" w:eastAsia="仿宋" w:cs="宋体"/>
          <w:sz w:val="18"/>
          <w:szCs w:val="24"/>
        </w:rPr>
      </w:pPr>
    </w:p>
    <w:p>
      <w:pPr>
        <w:spacing w:line="20" w:lineRule="atLeast"/>
        <w:rPr>
          <w:rFonts w:ascii="仿宋" w:hAnsi="仿宋" w:eastAsia="仿宋" w:cs="宋体"/>
          <w:sz w:val="18"/>
          <w:szCs w:val="24"/>
        </w:rPr>
      </w:pPr>
    </w:p>
    <w:p>
      <w:pPr>
        <w:spacing w:line="20" w:lineRule="atLeast"/>
        <w:rPr>
          <w:rFonts w:ascii="仿宋" w:hAnsi="仿宋" w:eastAsia="仿宋" w:cs="宋体"/>
          <w:sz w:val="18"/>
          <w:szCs w:val="24"/>
        </w:rPr>
      </w:pPr>
    </w:p>
    <w:p>
      <w:pPr>
        <w:spacing w:line="20" w:lineRule="atLeast"/>
        <w:rPr>
          <w:rFonts w:ascii="仿宋" w:hAnsi="仿宋" w:eastAsia="仿宋" w:cs="宋体"/>
          <w:sz w:val="18"/>
          <w:szCs w:val="24"/>
        </w:rPr>
      </w:pPr>
    </w:p>
    <w:p>
      <w:pPr>
        <w:spacing w:line="20" w:lineRule="atLeast"/>
        <w:rPr>
          <w:rFonts w:ascii="仿宋" w:hAnsi="仿宋" w:eastAsia="仿宋" w:cs="宋体"/>
          <w:sz w:val="18"/>
          <w:szCs w:val="24"/>
        </w:rPr>
      </w:pPr>
    </w:p>
    <w:p>
      <w:pPr>
        <w:spacing w:line="20" w:lineRule="atLeast"/>
        <w:rPr>
          <w:rFonts w:ascii="仿宋" w:hAnsi="仿宋" w:eastAsia="仿宋" w:cs="宋体"/>
          <w:sz w:val="18"/>
          <w:szCs w:val="24"/>
        </w:rPr>
      </w:pPr>
    </w:p>
    <w:p>
      <w:pPr>
        <w:adjustRightInd w:val="0"/>
        <w:snapToGrid w:val="0"/>
        <w:jc w:val="both"/>
        <w:rPr>
          <w:rFonts w:hint="eastAsia" w:ascii="方正小标宋简体" w:hAnsi="仿宋" w:eastAsia="方正小标宋简体" w:cs="宋体"/>
          <w:sz w:val="30"/>
          <w:szCs w:val="30"/>
        </w:rPr>
      </w:pPr>
      <w:r>
        <w:rPr>
          <w:rFonts w:hint="eastAsia" w:ascii="方正小标宋简体" w:hAnsi="仿宋" w:eastAsia="方正小标宋简体" w:cs="宋体"/>
          <w:sz w:val="30"/>
          <w:szCs w:val="30"/>
          <w:lang w:val="en-US" w:eastAsia="zh-CN"/>
        </w:rPr>
        <w:t xml:space="preserve">             </w:t>
      </w:r>
      <w:r>
        <w:rPr>
          <w:rFonts w:hint="eastAsia" w:ascii="方正小标宋简体" w:hAnsi="仿宋" w:eastAsia="方正小标宋简体" w:cs="宋体"/>
          <w:sz w:val="30"/>
          <w:szCs w:val="30"/>
        </w:rPr>
        <w:t>201</w:t>
      </w:r>
      <w:r>
        <w:rPr>
          <w:rFonts w:hint="eastAsia" w:ascii="方正小标宋简体" w:hAnsi="仿宋" w:eastAsia="方正小标宋简体" w:cs="宋体"/>
          <w:sz w:val="30"/>
          <w:szCs w:val="30"/>
          <w:lang w:val="en-US" w:eastAsia="zh-CN"/>
        </w:rPr>
        <w:t>6</w:t>
      </w:r>
      <w:r>
        <w:rPr>
          <w:rFonts w:hint="eastAsia" w:ascii="方正小标宋简体" w:hAnsi="仿宋" w:eastAsia="方正小标宋简体" w:cs="宋体"/>
          <w:sz w:val="30"/>
          <w:szCs w:val="30"/>
        </w:rPr>
        <w:t>年</w:t>
      </w:r>
      <w:r>
        <w:rPr>
          <w:rFonts w:hint="eastAsia" w:ascii="方正小标宋简体" w:hAnsi="仿宋" w:eastAsia="方正小标宋简体" w:cs="宋体"/>
          <w:sz w:val="30"/>
          <w:szCs w:val="30"/>
          <w:lang w:val="en-US" w:eastAsia="zh-CN"/>
        </w:rPr>
        <w:t>7</w:t>
      </w:r>
      <w:r>
        <w:rPr>
          <w:rFonts w:hint="eastAsia" w:ascii="方正小标宋简体" w:hAnsi="仿宋" w:eastAsia="方正小标宋简体" w:cs="宋体"/>
          <w:sz w:val="30"/>
          <w:szCs w:val="30"/>
        </w:rPr>
        <w:t>月</w:t>
      </w:r>
      <w:r>
        <w:rPr>
          <w:rFonts w:hint="eastAsia" w:ascii="方正小标宋简体" w:hAnsi="仿宋" w:eastAsia="方正小标宋简体" w:cs="宋体"/>
          <w:sz w:val="30"/>
          <w:szCs w:val="30"/>
          <w:lang w:eastAsia="zh-CN"/>
        </w:rPr>
        <w:t>各地市</w:t>
      </w:r>
      <w:r>
        <w:rPr>
          <w:rFonts w:hint="eastAsia" w:ascii="方正小标宋简体" w:hAnsi="仿宋" w:eastAsia="方正小标宋简体" w:cs="宋体"/>
          <w:sz w:val="30"/>
          <w:szCs w:val="30"/>
        </w:rPr>
        <w:t>有效申诉率统计表</w:t>
      </w:r>
    </w:p>
    <w:p>
      <w:pPr>
        <w:adjustRightInd w:val="0"/>
        <w:snapToGrid w:val="0"/>
        <w:spacing w:afterLines="50"/>
        <w:jc w:val="center"/>
        <w:rPr>
          <w:rFonts w:hint="eastAsia" w:ascii="方正小标宋简体" w:hAnsi="仿宋" w:eastAsia="方正小标宋简体" w:cs="宋体"/>
          <w:sz w:val="30"/>
          <w:szCs w:val="30"/>
        </w:rPr>
      </w:pPr>
      <w:r>
        <w:rPr>
          <w:rFonts w:hint="eastAsia" w:ascii="楷体_GB2312" w:hAnsi="仿宋" w:eastAsia="楷体_GB2312" w:cs="宋体"/>
          <w:sz w:val="30"/>
          <w:szCs w:val="30"/>
        </w:rPr>
        <w:t>单位：件有效申诉/百万快件</w:t>
      </w:r>
    </w:p>
    <w:tbl>
      <w:tblPr>
        <w:tblStyle w:val="8"/>
        <w:tblW w:w="903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1505"/>
        <w:gridCol w:w="1219"/>
        <w:gridCol w:w="1665"/>
        <w:gridCol w:w="1721"/>
        <w:gridCol w:w="17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226" w:type="dxa"/>
            <w:vMerge w:val="restart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黑体" w:hAnsi="仿宋" w:eastAsia="黑体" w:cs="宋体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黑体" w:hAnsi="仿宋" w:eastAsia="黑体" w:cs="宋体"/>
                <w:sz w:val="24"/>
                <w:szCs w:val="24"/>
              </w:rPr>
              <w:t>名称</w:t>
            </w:r>
          </w:p>
        </w:tc>
        <w:tc>
          <w:tcPr>
            <w:tcW w:w="150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仿宋" w:eastAsia="黑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黑体" w:hAnsi="仿宋" w:eastAsia="黑体" w:cs="宋体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sz w:val="24"/>
                <w:szCs w:val="24"/>
              </w:rPr>
              <w:t>201</w:t>
            </w:r>
            <w:r>
              <w:rPr>
                <w:rFonts w:hint="eastAsia" w:ascii="黑体" w:hAnsi="仿宋" w:eastAsia="黑体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黑体" w:hAnsi="仿宋" w:eastAsia="黑体" w:cs="宋体"/>
                <w:sz w:val="24"/>
                <w:szCs w:val="24"/>
              </w:rPr>
              <w:t>年</w:t>
            </w:r>
            <w:r>
              <w:rPr>
                <w:rFonts w:hint="eastAsia" w:ascii="黑体" w:hAnsi="仿宋" w:eastAsia="黑体" w:cs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黑体" w:hAnsi="仿宋" w:eastAsia="黑体" w:cs="宋体"/>
                <w:sz w:val="24"/>
                <w:szCs w:val="24"/>
              </w:rPr>
              <w:t>月申诉率</w:t>
            </w:r>
          </w:p>
        </w:tc>
        <w:tc>
          <w:tcPr>
            <w:tcW w:w="4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黑体" w:hAnsi="仿宋" w:eastAsia="黑体" w:cs="宋体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sz w:val="24"/>
                <w:szCs w:val="24"/>
              </w:rPr>
              <w:t>其中</w:t>
            </w:r>
          </w:p>
        </w:tc>
        <w:tc>
          <w:tcPr>
            <w:tcW w:w="1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" w:lineRule="atLeast"/>
              <w:jc w:val="both"/>
              <w:rPr>
                <w:rFonts w:hint="eastAsia" w:ascii="黑体" w:hAnsi="仿宋" w:eastAsia="黑体" w:cs="宋体"/>
                <w:sz w:val="24"/>
                <w:szCs w:val="24"/>
                <w:lang w:eastAsia="zh-CN"/>
              </w:rPr>
            </w:pPr>
            <w:r>
              <w:rPr>
                <w:rFonts w:hint="eastAsia" w:ascii="黑体" w:hAnsi="仿宋" w:eastAsia="黑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仿宋" w:eastAsia="黑体" w:cs="宋体"/>
                <w:sz w:val="24"/>
                <w:szCs w:val="24"/>
                <w:lang w:eastAsia="zh-CN"/>
              </w:rPr>
              <w:t>环比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226" w:type="dxa"/>
            <w:vMerge w:val="continue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50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黑体" w:hAnsi="仿宋" w:eastAsia="黑体" w:cs="宋体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sz w:val="24"/>
                <w:szCs w:val="24"/>
              </w:rPr>
              <w:t>延误申诉率</w:t>
            </w:r>
          </w:p>
        </w:tc>
        <w:tc>
          <w:tcPr>
            <w:tcW w:w="1665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黑体" w:hAnsi="仿宋" w:eastAsia="黑体" w:cs="宋体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sz w:val="24"/>
                <w:szCs w:val="24"/>
              </w:rPr>
              <w:t>丢失损毁申诉率</w:t>
            </w:r>
          </w:p>
        </w:tc>
        <w:tc>
          <w:tcPr>
            <w:tcW w:w="172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黑体" w:hAnsi="仿宋" w:eastAsia="黑体" w:cs="宋体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sz w:val="24"/>
                <w:szCs w:val="24"/>
              </w:rPr>
              <w:t>投递服务申诉率</w:t>
            </w:r>
          </w:p>
        </w:tc>
        <w:tc>
          <w:tcPr>
            <w:tcW w:w="1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黑体" w:hAnsi="仿宋" w:eastAsia="黑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22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泰州</w:t>
            </w:r>
          </w:p>
        </w:tc>
        <w:tc>
          <w:tcPr>
            <w:tcW w:w="1505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11.47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0.97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3.69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5.83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22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南京</w:t>
            </w:r>
          </w:p>
        </w:tc>
        <w:tc>
          <w:tcPr>
            <w:tcW w:w="1505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8.68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2.05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2.59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3.68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22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盐城</w:t>
            </w:r>
          </w:p>
        </w:tc>
        <w:tc>
          <w:tcPr>
            <w:tcW w:w="1505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7.64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0.61</w:t>
            </w:r>
          </w:p>
        </w:tc>
        <w:tc>
          <w:tcPr>
            <w:tcW w:w="1665" w:type="dxa"/>
            <w:vAlign w:val="center"/>
          </w:tcPr>
          <w:p>
            <w:pPr>
              <w:ind w:firstLine="360" w:firstLineChars="150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1.83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4.28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616" w:hRule="atLeast"/>
        </w:trPr>
        <w:tc>
          <w:tcPr>
            <w:tcW w:w="122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南通</w:t>
            </w:r>
          </w:p>
        </w:tc>
        <w:tc>
          <w:tcPr>
            <w:tcW w:w="1505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7.59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0.93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1.79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4.51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2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无锡</w:t>
            </w:r>
          </w:p>
        </w:tc>
        <w:tc>
          <w:tcPr>
            <w:tcW w:w="1505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6.85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1.63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2.14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2.65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2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常州</w:t>
            </w:r>
          </w:p>
        </w:tc>
        <w:tc>
          <w:tcPr>
            <w:tcW w:w="1505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6.70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0.99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2.59</w:t>
            </w:r>
          </w:p>
        </w:tc>
        <w:tc>
          <w:tcPr>
            <w:tcW w:w="1721" w:type="dxa"/>
            <w:vAlign w:val="center"/>
          </w:tcPr>
          <w:p>
            <w:pPr>
              <w:ind w:firstLine="480" w:firstLineChars="200"/>
              <w:jc w:val="both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2.89</w:t>
            </w:r>
          </w:p>
        </w:tc>
        <w:tc>
          <w:tcPr>
            <w:tcW w:w="1703" w:type="dxa"/>
            <w:vAlign w:val="center"/>
          </w:tcPr>
          <w:p>
            <w:pPr>
              <w:ind w:firstLine="480" w:firstLineChars="200"/>
              <w:jc w:val="both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22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镇江</w:t>
            </w:r>
          </w:p>
        </w:tc>
        <w:tc>
          <w:tcPr>
            <w:tcW w:w="1505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6.07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0.51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1.18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4.22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2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徐州</w:t>
            </w:r>
          </w:p>
        </w:tc>
        <w:tc>
          <w:tcPr>
            <w:tcW w:w="1505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5.59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1.89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1.74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1.89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22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连云港</w:t>
            </w:r>
          </w:p>
        </w:tc>
        <w:tc>
          <w:tcPr>
            <w:tcW w:w="1505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5.28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1.81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2.97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82" w:hRule="atLeast"/>
        </w:trPr>
        <w:tc>
          <w:tcPr>
            <w:tcW w:w="122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宿迁</w:t>
            </w:r>
          </w:p>
        </w:tc>
        <w:tc>
          <w:tcPr>
            <w:tcW w:w="1505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5.15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1.24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1.85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1.65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2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扬州</w:t>
            </w:r>
          </w:p>
        </w:tc>
        <w:tc>
          <w:tcPr>
            <w:tcW w:w="1505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4.98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665" w:type="dxa"/>
            <w:vAlign w:val="center"/>
          </w:tcPr>
          <w:p>
            <w:pPr>
              <w:ind w:firstLine="360" w:firstLineChars="150"/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0.79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3.93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2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苏州</w:t>
            </w:r>
          </w:p>
        </w:tc>
        <w:tc>
          <w:tcPr>
            <w:tcW w:w="1505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4.41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0.73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1.50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1.90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22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淮安</w:t>
            </w:r>
          </w:p>
        </w:tc>
        <w:tc>
          <w:tcPr>
            <w:tcW w:w="1505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4.24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0.36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1.82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2.06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↑</w:t>
            </w:r>
          </w:p>
        </w:tc>
      </w:tr>
    </w:tbl>
    <w:p>
      <w:pPr>
        <w:spacing w:line="20" w:lineRule="atLeast"/>
        <w:jc w:val="center"/>
        <w:rPr>
          <w:rFonts w:ascii="仿宋" w:hAnsi="仿宋" w:eastAsia="仿宋" w:cs="宋体"/>
          <w:sz w:val="18"/>
          <w:szCs w:val="24"/>
        </w:rPr>
      </w:pPr>
    </w:p>
    <w:p>
      <w:pPr>
        <w:spacing w:line="20" w:lineRule="atLeast"/>
        <w:jc w:val="center"/>
        <w:rPr>
          <w:rFonts w:ascii="仿宋" w:hAnsi="仿宋" w:eastAsia="仿宋" w:cs="宋体"/>
          <w:sz w:val="18"/>
          <w:szCs w:val="24"/>
        </w:rPr>
      </w:pPr>
    </w:p>
    <w:p>
      <w:pPr>
        <w:spacing w:line="20" w:lineRule="atLeast"/>
        <w:rPr>
          <w:rFonts w:ascii="仿宋" w:hAnsi="仿宋" w:eastAsia="仿宋" w:cs="宋体"/>
          <w:sz w:val="18"/>
          <w:szCs w:val="24"/>
        </w:rPr>
      </w:pPr>
    </w:p>
    <w:p>
      <w:pPr>
        <w:spacing w:line="20" w:lineRule="atLeast"/>
        <w:rPr>
          <w:rFonts w:ascii="仿宋" w:hAnsi="仿宋" w:eastAsia="仿宋" w:cs="宋体"/>
          <w:sz w:val="18"/>
          <w:szCs w:val="24"/>
        </w:rPr>
      </w:pPr>
    </w:p>
    <w:p>
      <w:pPr>
        <w:spacing w:line="20" w:lineRule="atLeast"/>
        <w:rPr>
          <w:rFonts w:ascii="仿宋" w:hAnsi="仿宋" w:eastAsia="仿宋" w:cs="宋体"/>
          <w:sz w:val="18"/>
          <w:szCs w:val="24"/>
        </w:rPr>
      </w:pPr>
    </w:p>
    <w:p>
      <w:pPr>
        <w:spacing w:line="20" w:lineRule="atLeast"/>
        <w:rPr>
          <w:rFonts w:ascii="仿宋" w:hAnsi="仿宋" w:eastAsia="仿宋" w:cs="宋体"/>
          <w:sz w:val="18"/>
          <w:szCs w:val="24"/>
        </w:rPr>
      </w:pPr>
    </w:p>
    <w:p>
      <w:pPr>
        <w:spacing w:line="20" w:lineRule="atLeast"/>
        <w:rPr>
          <w:rFonts w:ascii="仿宋" w:hAnsi="仿宋" w:eastAsia="仿宋" w:cs="宋体"/>
          <w:sz w:val="18"/>
          <w:szCs w:val="24"/>
        </w:rPr>
      </w:pPr>
    </w:p>
    <w:p>
      <w:pPr>
        <w:spacing w:line="20" w:lineRule="atLeast"/>
        <w:rPr>
          <w:rFonts w:hint="eastAsia" w:ascii="仿宋" w:hAnsi="仿宋" w:eastAsia="仿宋" w:cs="宋体"/>
          <w:sz w:val="18"/>
          <w:szCs w:val="24"/>
          <w:lang w:val="en-US" w:eastAsia="zh-CN"/>
        </w:rPr>
      </w:pPr>
      <w:r>
        <w:rPr>
          <w:rFonts w:hint="eastAsia" w:ascii="仿宋" w:hAnsi="仿宋" w:eastAsia="仿宋" w:cs="宋体"/>
          <w:sz w:val="18"/>
          <w:szCs w:val="24"/>
          <w:lang w:val="en-US" w:eastAsia="zh-CN"/>
        </w:rPr>
        <w:t xml:space="preserve">      </w:t>
      </w:r>
    </w:p>
    <w:p>
      <w:pPr>
        <w:spacing w:line="20" w:lineRule="atLeast"/>
        <w:rPr>
          <w:rFonts w:hint="eastAsia" w:ascii="仿宋" w:hAnsi="仿宋" w:eastAsia="仿宋" w:cs="宋体"/>
          <w:sz w:val="18"/>
          <w:szCs w:val="24"/>
          <w:lang w:val="en-US" w:eastAsia="zh-CN"/>
        </w:rPr>
      </w:pPr>
      <w:r>
        <w:rPr>
          <w:rFonts w:hint="eastAsia" w:ascii="仿宋" w:hAnsi="仿宋" w:eastAsia="仿宋" w:cs="宋体"/>
          <w:sz w:val="18"/>
          <w:szCs w:val="24"/>
          <w:lang w:val="en-US" w:eastAsia="zh-CN"/>
        </w:rPr>
        <w:t xml:space="preserve">   </w:t>
      </w:r>
    </w:p>
    <w:p>
      <w:pPr>
        <w:spacing w:line="20" w:lineRule="atLeast"/>
        <w:rPr>
          <w:rFonts w:hint="eastAsia" w:ascii="仿宋" w:hAnsi="仿宋" w:eastAsia="仿宋" w:cs="宋体"/>
          <w:sz w:val="30"/>
          <w:szCs w:val="24"/>
          <w:lang w:val="en-US" w:eastAsia="zh-CN"/>
        </w:rPr>
      </w:pPr>
      <w:r>
        <w:rPr>
          <w:rFonts w:hint="eastAsia" w:ascii="仿宋" w:hAnsi="仿宋" w:eastAsia="仿宋" w:cs="宋体"/>
          <w:sz w:val="18"/>
          <w:szCs w:val="24"/>
          <w:lang w:val="en-US" w:eastAsia="zh-CN"/>
        </w:rPr>
        <w:t xml:space="preserve">      </w:t>
      </w:r>
      <w:bookmarkStart w:id="0" w:name="_GoBack"/>
      <w:bookmarkEnd w:id="0"/>
    </w:p>
    <w:sectPr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Open Sans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0D6B"/>
    <w:rsid w:val="00001870"/>
    <w:rsid w:val="0000211D"/>
    <w:rsid w:val="00002B5A"/>
    <w:rsid w:val="00003F78"/>
    <w:rsid w:val="00005287"/>
    <w:rsid w:val="0000588D"/>
    <w:rsid w:val="0001020C"/>
    <w:rsid w:val="000102E2"/>
    <w:rsid w:val="0001051E"/>
    <w:rsid w:val="00014014"/>
    <w:rsid w:val="0001467A"/>
    <w:rsid w:val="00015DFB"/>
    <w:rsid w:val="00016860"/>
    <w:rsid w:val="00020F0C"/>
    <w:rsid w:val="0002107B"/>
    <w:rsid w:val="00021EA6"/>
    <w:rsid w:val="000234A8"/>
    <w:rsid w:val="00024A2D"/>
    <w:rsid w:val="000255B8"/>
    <w:rsid w:val="00025793"/>
    <w:rsid w:val="0003005E"/>
    <w:rsid w:val="00030DE2"/>
    <w:rsid w:val="000312C6"/>
    <w:rsid w:val="00031AA2"/>
    <w:rsid w:val="00031C3E"/>
    <w:rsid w:val="00032B23"/>
    <w:rsid w:val="00033661"/>
    <w:rsid w:val="00033973"/>
    <w:rsid w:val="00033B34"/>
    <w:rsid w:val="00033C67"/>
    <w:rsid w:val="000348B2"/>
    <w:rsid w:val="00035749"/>
    <w:rsid w:val="00035CCE"/>
    <w:rsid w:val="00037161"/>
    <w:rsid w:val="00041C03"/>
    <w:rsid w:val="00041ECA"/>
    <w:rsid w:val="000443E4"/>
    <w:rsid w:val="00045C7A"/>
    <w:rsid w:val="0004626C"/>
    <w:rsid w:val="00052C97"/>
    <w:rsid w:val="00052ED7"/>
    <w:rsid w:val="00053AB3"/>
    <w:rsid w:val="00054D42"/>
    <w:rsid w:val="000566F7"/>
    <w:rsid w:val="000575BA"/>
    <w:rsid w:val="00057984"/>
    <w:rsid w:val="00062097"/>
    <w:rsid w:val="0006209C"/>
    <w:rsid w:val="0006311F"/>
    <w:rsid w:val="00063BA0"/>
    <w:rsid w:val="000641CF"/>
    <w:rsid w:val="00064613"/>
    <w:rsid w:val="00067748"/>
    <w:rsid w:val="00067CA4"/>
    <w:rsid w:val="00067D22"/>
    <w:rsid w:val="00072779"/>
    <w:rsid w:val="0007485D"/>
    <w:rsid w:val="000758AA"/>
    <w:rsid w:val="00076EFF"/>
    <w:rsid w:val="00077FF0"/>
    <w:rsid w:val="00081F92"/>
    <w:rsid w:val="0008217C"/>
    <w:rsid w:val="0008295B"/>
    <w:rsid w:val="0008311A"/>
    <w:rsid w:val="00083774"/>
    <w:rsid w:val="00083B0A"/>
    <w:rsid w:val="00083B0B"/>
    <w:rsid w:val="00083BC7"/>
    <w:rsid w:val="000847E1"/>
    <w:rsid w:val="00085C19"/>
    <w:rsid w:val="000863E1"/>
    <w:rsid w:val="000871AE"/>
    <w:rsid w:val="0008787A"/>
    <w:rsid w:val="00087AED"/>
    <w:rsid w:val="00092A3C"/>
    <w:rsid w:val="0009304D"/>
    <w:rsid w:val="00094306"/>
    <w:rsid w:val="00094AE4"/>
    <w:rsid w:val="00094CDB"/>
    <w:rsid w:val="000966C6"/>
    <w:rsid w:val="000970A4"/>
    <w:rsid w:val="0009739B"/>
    <w:rsid w:val="00097AA1"/>
    <w:rsid w:val="000A4956"/>
    <w:rsid w:val="000A6310"/>
    <w:rsid w:val="000A653D"/>
    <w:rsid w:val="000A707C"/>
    <w:rsid w:val="000A7109"/>
    <w:rsid w:val="000B096C"/>
    <w:rsid w:val="000B0A32"/>
    <w:rsid w:val="000B189C"/>
    <w:rsid w:val="000B32C8"/>
    <w:rsid w:val="000B43E8"/>
    <w:rsid w:val="000B44C1"/>
    <w:rsid w:val="000B4670"/>
    <w:rsid w:val="000B5EE5"/>
    <w:rsid w:val="000C00B5"/>
    <w:rsid w:val="000C0399"/>
    <w:rsid w:val="000C1726"/>
    <w:rsid w:val="000C1F66"/>
    <w:rsid w:val="000C251B"/>
    <w:rsid w:val="000C55C4"/>
    <w:rsid w:val="000D0912"/>
    <w:rsid w:val="000D2024"/>
    <w:rsid w:val="000D31EC"/>
    <w:rsid w:val="000D4D7F"/>
    <w:rsid w:val="000E06A1"/>
    <w:rsid w:val="000E38DB"/>
    <w:rsid w:val="000E3BEA"/>
    <w:rsid w:val="000E448B"/>
    <w:rsid w:val="000E5C86"/>
    <w:rsid w:val="000E743E"/>
    <w:rsid w:val="000F1146"/>
    <w:rsid w:val="000F1B33"/>
    <w:rsid w:val="000F1CF2"/>
    <w:rsid w:val="000F27AF"/>
    <w:rsid w:val="000F4806"/>
    <w:rsid w:val="000F4C5E"/>
    <w:rsid w:val="000F5BAF"/>
    <w:rsid w:val="000F63D0"/>
    <w:rsid w:val="000F7671"/>
    <w:rsid w:val="000F7A64"/>
    <w:rsid w:val="00100643"/>
    <w:rsid w:val="00101424"/>
    <w:rsid w:val="0010146E"/>
    <w:rsid w:val="00101B14"/>
    <w:rsid w:val="00102948"/>
    <w:rsid w:val="00103575"/>
    <w:rsid w:val="00104491"/>
    <w:rsid w:val="00104663"/>
    <w:rsid w:val="00105023"/>
    <w:rsid w:val="00105107"/>
    <w:rsid w:val="001056CA"/>
    <w:rsid w:val="00106D25"/>
    <w:rsid w:val="001134EA"/>
    <w:rsid w:val="00113D06"/>
    <w:rsid w:val="0011716D"/>
    <w:rsid w:val="00117CF3"/>
    <w:rsid w:val="001200D4"/>
    <w:rsid w:val="00120EE3"/>
    <w:rsid w:val="001234E4"/>
    <w:rsid w:val="00123B82"/>
    <w:rsid w:val="0012440C"/>
    <w:rsid w:val="001246BC"/>
    <w:rsid w:val="00126511"/>
    <w:rsid w:val="00126888"/>
    <w:rsid w:val="00127F17"/>
    <w:rsid w:val="00130E99"/>
    <w:rsid w:val="001320A0"/>
    <w:rsid w:val="001332F7"/>
    <w:rsid w:val="00134533"/>
    <w:rsid w:val="00134EDE"/>
    <w:rsid w:val="00135559"/>
    <w:rsid w:val="00140013"/>
    <w:rsid w:val="00140241"/>
    <w:rsid w:val="00141BF9"/>
    <w:rsid w:val="0014257A"/>
    <w:rsid w:val="00144465"/>
    <w:rsid w:val="0014483F"/>
    <w:rsid w:val="00145551"/>
    <w:rsid w:val="00146511"/>
    <w:rsid w:val="00152205"/>
    <w:rsid w:val="00153CA1"/>
    <w:rsid w:val="00154BAB"/>
    <w:rsid w:val="00156750"/>
    <w:rsid w:val="00156BD2"/>
    <w:rsid w:val="00157F92"/>
    <w:rsid w:val="001603DB"/>
    <w:rsid w:val="00160BB9"/>
    <w:rsid w:val="001613F0"/>
    <w:rsid w:val="001615F8"/>
    <w:rsid w:val="00162515"/>
    <w:rsid w:val="001643E5"/>
    <w:rsid w:val="00164748"/>
    <w:rsid w:val="00164A95"/>
    <w:rsid w:val="00164C27"/>
    <w:rsid w:val="00165816"/>
    <w:rsid w:val="001668E1"/>
    <w:rsid w:val="001672FC"/>
    <w:rsid w:val="00170033"/>
    <w:rsid w:val="0017179F"/>
    <w:rsid w:val="0017232B"/>
    <w:rsid w:val="00172A27"/>
    <w:rsid w:val="0017305A"/>
    <w:rsid w:val="0017320E"/>
    <w:rsid w:val="00173EBD"/>
    <w:rsid w:val="001769D5"/>
    <w:rsid w:val="00177440"/>
    <w:rsid w:val="001819B0"/>
    <w:rsid w:val="00182D9D"/>
    <w:rsid w:val="001856E3"/>
    <w:rsid w:val="0019170A"/>
    <w:rsid w:val="00193982"/>
    <w:rsid w:val="001956E1"/>
    <w:rsid w:val="00197511"/>
    <w:rsid w:val="001A07C2"/>
    <w:rsid w:val="001A4E61"/>
    <w:rsid w:val="001A4EC8"/>
    <w:rsid w:val="001A54BB"/>
    <w:rsid w:val="001A5C00"/>
    <w:rsid w:val="001A63AA"/>
    <w:rsid w:val="001A65F6"/>
    <w:rsid w:val="001A6C62"/>
    <w:rsid w:val="001A76FE"/>
    <w:rsid w:val="001A7B24"/>
    <w:rsid w:val="001B1A11"/>
    <w:rsid w:val="001B2565"/>
    <w:rsid w:val="001B35D9"/>
    <w:rsid w:val="001B461F"/>
    <w:rsid w:val="001B7687"/>
    <w:rsid w:val="001B797F"/>
    <w:rsid w:val="001C11A3"/>
    <w:rsid w:val="001C11AE"/>
    <w:rsid w:val="001C1E33"/>
    <w:rsid w:val="001C2740"/>
    <w:rsid w:val="001C3569"/>
    <w:rsid w:val="001C3E86"/>
    <w:rsid w:val="001C4685"/>
    <w:rsid w:val="001C5609"/>
    <w:rsid w:val="001C69C3"/>
    <w:rsid w:val="001D007A"/>
    <w:rsid w:val="001D4FC8"/>
    <w:rsid w:val="001D5729"/>
    <w:rsid w:val="001D5A0E"/>
    <w:rsid w:val="001D652A"/>
    <w:rsid w:val="001D7057"/>
    <w:rsid w:val="001D7B36"/>
    <w:rsid w:val="001E0413"/>
    <w:rsid w:val="001E0715"/>
    <w:rsid w:val="001E5974"/>
    <w:rsid w:val="001E6140"/>
    <w:rsid w:val="001E715A"/>
    <w:rsid w:val="001E7369"/>
    <w:rsid w:val="001E7D02"/>
    <w:rsid w:val="001F3048"/>
    <w:rsid w:val="001F4A33"/>
    <w:rsid w:val="001F4C41"/>
    <w:rsid w:val="001F5593"/>
    <w:rsid w:val="001F57C8"/>
    <w:rsid w:val="00200C25"/>
    <w:rsid w:val="002042B0"/>
    <w:rsid w:val="002046B3"/>
    <w:rsid w:val="00205675"/>
    <w:rsid w:val="00205D77"/>
    <w:rsid w:val="00205E5B"/>
    <w:rsid w:val="00212A93"/>
    <w:rsid w:val="00212D3A"/>
    <w:rsid w:val="00213B3F"/>
    <w:rsid w:val="00213C78"/>
    <w:rsid w:val="002144C7"/>
    <w:rsid w:val="0021798B"/>
    <w:rsid w:val="00217FC2"/>
    <w:rsid w:val="00220CFB"/>
    <w:rsid w:val="00222F14"/>
    <w:rsid w:val="00223210"/>
    <w:rsid w:val="002244E3"/>
    <w:rsid w:val="002260E1"/>
    <w:rsid w:val="002262E5"/>
    <w:rsid w:val="00227069"/>
    <w:rsid w:val="00231AD4"/>
    <w:rsid w:val="00232906"/>
    <w:rsid w:val="00233855"/>
    <w:rsid w:val="002348E8"/>
    <w:rsid w:val="002348EA"/>
    <w:rsid w:val="00240501"/>
    <w:rsid w:val="00241BC0"/>
    <w:rsid w:val="00243E60"/>
    <w:rsid w:val="002447AD"/>
    <w:rsid w:val="00245D85"/>
    <w:rsid w:val="00252AB6"/>
    <w:rsid w:val="002535C6"/>
    <w:rsid w:val="00253A82"/>
    <w:rsid w:val="00253FE2"/>
    <w:rsid w:val="00253FF1"/>
    <w:rsid w:val="00254544"/>
    <w:rsid w:val="00254DE7"/>
    <w:rsid w:val="00255A98"/>
    <w:rsid w:val="00257B8E"/>
    <w:rsid w:val="00260D9F"/>
    <w:rsid w:val="0026246D"/>
    <w:rsid w:val="00262AB9"/>
    <w:rsid w:val="00264A61"/>
    <w:rsid w:val="0026618B"/>
    <w:rsid w:val="0026699C"/>
    <w:rsid w:val="00267A9F"/>
    <w:rsid w:val="00267DB2"/>
    <w:rsid w:val="00270057"/>
    <w:rsid w:val="002736BB"/>
    <w:rsid w:val="00273A73"/>
    <w:rsid w:val="00274414"/>
    <w:rsid w:val="00274B67"/>
    <w:rsid w:val="00274BBB"/>
    <w:rsid w:val="00277FFC"/>
    <w:rsid w:val="0028094D"/>
    <w:rsid w:val="00282F84"/>
    <w:rsid w:val="002847BF"/>
    <w:rsid w:val="0028539D"/>
    <w:rsid w:val="00286B9C"/>
    <w:rsid w:val="00286BB9"/>
    <w:rsid w:val="00287379"/>
    <w:rsid w:val="002878B4"/>
    <w:rsid w:val="0029144F"/>
    <w:rsid w:val="00291AFF"/>
    <w:rsid w:val="002923F8"/>
    <w:rsid w:val="00292DFD"/>
    <w:rsid w:val="00293301"/>
    <w:rsid w:val="00293570"/>
    <w:rsid w:val="002940E8"/>
    <w:rsid w:val="002942CD"/>
    <w:rsid w:val="00295052"/>
    <w:rsid w:val="00295BCB"/>
    <w:rsid w:val="00296BEF"/>
    <w:rsid w:val="002A2DBC"/>
    <w:rsid w:val="002A431C"/>
    <w:rsid w:val="002A4BF0"/>
    <w:rsid w:val="002A4FFD"/>
    <w:rsid w:val="002A6EFC"/>
    <w:rsid w:val="002B0CF9"/>
    <w:rsid w:val="002B2565"/>
    <w:rsid w:val="002B2E49"/>
    <w:rsid w:val="002B31C1"/>
    <w:rsid w:val="002B48EA"/>
    <w:rsid w:val="002C0B9D"/>
    <w:rsid w:val="002C25E4"/>
    <w:rsid w:val="002C3A19"/>
    <w:rsid w:val="002C3FAA"/>
    <w:rsid w:val="002C43F5"/>
    <w:rsid w:val="002C4A1D"/>
    <w:rsid w:val="002C5F87"/>
    <w:rsid w:val="002C7118"/>
    <w:rsid w:val="002C7F5E"/>
    <w:rsid w:val="002D1F0E"/>
    <w:rsid w:val="002D2431"/>
    <w:rsid w:val="002D2D55"/>
    <w:rsid w:val="002D2ECE"/>
    <w:rsid w:val="002D36E8"/>
    <w:rsid w:val="002D389C"/>
    <w:rsid w:val="002D68E6"/>
    <w:rsid w:val="002D696A"/>
    <w:rsid w:val="002E0192"/>
    <w:rsid w:val="002E1007"/>
    <w:rsid w:val="002E1DD4"/>
    <w:rsid w:val="002E1FEE"/>
    <w:rsid w:val="002E21AF"/>
    <w:rsid w:val="002E2A4A"/>
    <w:rsid w:val="002E38C4"/>
    <w:rsid w:val="002E4EEE"/>
    <w:rsid w:val="002E6551"/>
    <w:rsid w:val="002E714D"/>
    <w:rsid w:val="002F2537"/>
    <w:rsid w:val="002F257F"/>
    <w:rsid w:val="002F26FE"/>
    <w:rsid w:val="002F2E9F"/>
    <w:rsid w:val="002F32D6"/>
    <w:rsid w:val="002F4860"/>
    <w:rsid w:val="002F6984"/>
    <w:rsid w:val="002F6F0B"/>
    <w:rsid w:val="002F7304"/>
    <w:rsid w:val="00302026"/>
    <w:rsid w:val="003023F4"/>
    <w:rsid w:val="00303A18"/>
    <w:rsid w:val="00303C83"/>
    <w:rsid w:val="0030450F"/>
    <w:rsid w:val="00305052"/>
    <w:rsid w:val="0030546E"/>
    <w:rsid w:val="00307E9C"/>
    <w:rsid w:val="00310689"/>
    <w:rsid w:val="00311E2C"/>
    <w:rsid w:val="00311F7F"/>
    <w:rsid w:val="00312095"/>
    <w:rsid w:val="003120AD"/>
    <w:rsid w:val="00312599"/>
    <w:rsid w:val="0031312D"/>
    <w:rsid w:val="00313DD0"/>
    <w:rsid w:val="00314C5B"/>
    <w:rsid w:val="00315AEF"/>
    <w:rsid w:val="00317565"/>
    <w:rsid w:val="00317596"/>
    <w:rsid w:val="0032001D"/>
    <w:rsid w:val="00320230"/>
    <w:rsid w:val="0032199C"/>
    <w:rsid w:val="003224B5"/>
    <w:rsid w:val="00322D42"/>
    <w:rsid w:val="003236C3"/>
    <w:rsid w:val="0032551D"/>
    <w:rsid w:val="00325A0A"/>
    <w:rsid w:val="0032786F"/>
    <w:rsid w:val="00330EC5"/>
    <w:rsid w:val="00332067"/>
    <w:rsid w:val="00332A18"/>
    <w:rsid w:val="00333780"/>
    <w:rsid w:val="00333F4E"/>
    <w:rsid w:val="0033546F"/>
    <w:rsid w:val="003424B1"/>
    <w:rsid w:val="00346B9F"/>
    <w:rsid w:val="003472B0"/>
    <w:rsid w:val="003479C3"/>
    <w:rsid w:val="0035380F"/>
    <w:rsid w:val="00353CAF"/>
    <w:rsid w:val="00354141"/>
    <w:rsid w:val="00354AEE"/>
    <w:rsid w:val="00356093"/>
    <w:rsid w:val="00356AA3"/>
    <w:rsid w:val="003572F9"/>
    <w:rsid w:val="003620C3"/>
    <w:rsid w:val="00366BB8"/>
    <w:rsid w:val="00366F24"/>
    <w:rsid w:val="00372CD3"/>
    <w:rsid w:val="00372D0E"/>
    <w:rsid w:val="00373B9E"/>
    <w:rsid w:val="003743BE"/>
    <w:rsid w:val="00374469"/>
    <w:rsid w:val="00375523"/>
    <w:rsid w:val="00376584"/>
    <w:rsid w:val="0037702F"/>
    <w:rsid w:val="00377994"/>
    <w:rsid w:val="00377F2A"/>
    <w:rsid w:val="00382653"/>
    <w:rsid w:val="00382F46"/>
    <w:rsid w:val="003839AF"/>
    <w:rsid w:val="00386C46"/>
    <w:rsid w:val="00387615"/>
    <w:rsid w:val="0038782C"/>
    <w:rsid w:val="00397E41"/>
    <w:rsid w:val="003A2D19"/>
    <w:rsid w:val="003A3197"/>
    <w:rsid w:val="003A59E2"/>
    <w:rsid w:val="003A62DE"/>
    <w:rsid w:val="003A738A"/>
    <w:rsid w:val="003B2D08"/>
    <w:rsid w:val="003B2E15"/>
    <w:rsid w:val="003B2F9E"/>
    <w:rsid w:val="003B49F7"/>
    <w:rsid w:val="003B4C9E"/>
    <w:rsid w:val="003B5568"/>
    <w:rsid w:val="003B61D9"/>
    <w:rsid w:val="003B7378"/>
    <w:rsid w:val="003B7B18"/>
    <w:rsid w:val="003B7C1A"/>
    <w:rsid w:val="003C14EE"/>
    <w:rsid w:val="003C2D39"/>
    <w:rsid w:val="003C30BD"/>
    <w:rsid w:val="003C43FA"/>
    <w:rsid w:val="003C45D5"/>
    <w:rsid w:val="003C4990"/>
    <w:rsid w:val="003C4F67"/>
    <w:rsid w:val="003C71EC"/>
    <w:rsid w:val="003C7795"/>
    <w:rsid w:val="003D11BB"/>
    <w:rsid w:val="003D290A"/>
    <w:rsid w:val="003D2C6E"/>
    <w:rsid w:val="003D3049"/>
    <w:rsid w:val="003D4CA0"/>
    <w:rsid w:val="003D6652"/>
    <w:rsid w:val="003D6C87"/>
    <w:rsid w:val="003E1012"/>
    <w:rsid w:val="003E185D"/>
    <w:rsid w:val="003E31D2"/>
    <w:rsid w:val="003E4233"/>
    <w:rsid w:val="003E5FC9"/>
    <w:rsid w:val="003E6BCA"/>
    <w:rsid w:val="003E6C17"/>
    <w:rsid w:val="003E7322"/>
    <w:rsid w:val="003E7C66"/>
    <w:rsid w:val="003F086F"/>
    <w:rsid w:val="003F1900"/>
    <w:rsid w:val="003F1F95"/>
    <w:rsid w:val="003F3052"/>
    <w:rsid w:val="003F4626"/>
    <w:rsid w:val="003F6CDE"/>
    <w:rsid w:val="0040021E"/>
    <w:rsid w:val="00400EEA"/>
    <w:rsid w:val="00400F0D"/>
    <w:rsid w:val="00404904"/>
    <w:rsid w:val="00405889"/>
    <w:rsid w:val="004064FD"/>
    <w:rsid w:val="0040793C"/>
    <w:rsid w:val="0041005B"/>
    <w:rsid w:val="00411385"/>
    <w:rsid w:val="00411555"/>
    <w:rsid w:val="0041245E"/>
    <w:rsid w:val="004133AB"/>
    <w:rsid w:val="00413CC8"/>
    <w:rsid w:val="00414177"/>
    <w:rsid w:val="004159D3"/>
    <w:rsid w:val="00415E50"/>
    <w:rsid w:val="004211CF"/>
    <w:rsid w:val="0042121E"/>
    <w:rsid w:val="004212DF"/>
    <w:rsid w:val="00421A41"/>
    <w:rsid w:val="004245FC"/>
    <w:rsid w:val="004251BE"/>
    <w:rsid w:val="00425D84"/>
    <w:rsid w:val="0042638C"/>
    <w:rsid w:val="00430E0B"/>
    <w:rsid w:val="0043185F"/>
    <w:rsid w:val="00432414"/>
    <w:rsid w:val="00433362"/>
    <w:rsid w:val="00434967"/>
    <w:rsid w:val="004352A1"/>
    <w:rsid w:val="00435A80"/>
    <w:rsid w:val="00435D63"/>
    <w:rsid w:val="0043649A"/>
    <w:rsid w:val="00437259"/>
    <w:rsid w:val="00437747"/>
    <w:rsid w:val="00437D42"/>
    <w:rsid w:val="004414A2"/>
    <w:rsid w:val="00441B8D"/>
    <w:rsid w:val="0044271D"/>
    <w:rsid w:val="00442A7B"/>
    <w:rsid w:val="00444D89"/>
    <w:rsid w:val="0044577C"/>
    <w:rsid w:val="00446589"/>
    <w:rsid w:val="00447BD6"/>
    <w:rsid w:val="00450E9B"/>
    <w:rsid w:val="0045255E"/>
    <w:rsid w:val="004530D4"/>
    <w:rsid w:val="00455258"/>
    <w:rsid w:val="00455725"/>
    <w:rsid w:val="00456A85"/>
    <w:rsid w:val="00456B6E"/>
    <w:rsid w:val="004574B8"/>
    <w:rsid w:val="0045775B"/>
    <w:rsid w:val="00457C6A"/>
    <w:rsid w:val="00457C8C"/>
    <w:rsid w:val="0046222D"/>
    <w:rsid w:val="00463B4C"/>
    <w:rsid w:val="004648F9"/>
    <w:rsid w:val="00464AFE"/>
    <w:rsid w:val="0046510C"/>
    <w:rsid w:val="004652EF"/>
    <w:rsid w:val="00465FA7"/>
    <w:rsid w:val="00466389"/>
    <w:rsid w:val="00470A1A"/>
    <w:rsid w:val="00470BF2"/>
    <w:rsid w:val="00470C47"/>
    <w:rsid w:val="00472003"/>
    <w:rsid w:val="00473CA9"/>
    <w:rsid w:val="00477AAC"/>
    <w:rsid w:val="00480676"/>
    <w:rsid w:val="00480F36"/>
    <w:rsid w:val="004834AD"/>
    <w:rsid w:val="00483F94"/>
    <w:rsid w:val="00492551"/>
    <w:rsid w:val="00492BA5"/>
    <w:rsid w:val="00495318"/>
    <w:rsid w:val="00495D03"/>
    <w:rsid w:val="004970D9"/>
    <w:rsid w:val="00497DCE"/>
    <w:rsid w:val="004A0102"/>
    <w:rsid w:val="004A0E64"/>
    <w:rsid w:val="004A159D"/>
    <w:rsid w:val="004A196F"/>
    <w:rsid w:val="004A4D13"/>
    <w:rsid w:val="004A59E2"/>
    <w:rsid w:val="004A5A7A"/>
    <w:rsid w:val="004A5B62"/>
    <w:rsid w:val="004A74CA"/>
    <w:rsid w:val="004B0502"/>
    <w:rsid w:val="004B0FC1"/>
    <w:rsid w:val="004B3034"/>
    <w:rsid w:val="004B323F"/>
    <w:rsid w:val="004B489D"/>
    <w:rsid w:val="004B7103"/>
    <w:rsid w:val="004B7FE9"/>
    <w:rsid w:val="004C09D6"/>
    <w:rsid w:val="004C30A6"/>
    <w:rsid w:val="004C5672"/>
    <w:rsid w:val="004C6305"/>
    <w:rsid w:val="004C667C"/>
    <w:rsid w:val="004C6D7F"/>
    <w:rsid w:val="004D1092"/>
    <w:rsid w:val="004D2A5B"/>
    <w:rsid w:val="004D2AB8"/>
    <w:rsid w:val="004D5DE7"/>
    <w:rsid w:val="004E1A9D"/>
    <w:rsid w:val="004E1B87"/>
    <w:rsid w:val="004E3CB6"/>
    <w:rsid w:val="004E5630"/>
    <w:rsid w:val="004F0054"/>
    <w:rsid w:val="004F0E47"/>
    <w:rsid w:val="004F37BC"/>
    <w:rsid w:val="004F412E"/>
    <w:rsid w:val="004F4457"/>
    <w:rsid w:val="004F4E34"/>
    <w:rsid w:val="004F5476"/>
    <w:rsid w:val="004F5AF1"/>
    <w:rsid w:val="004F73EE"/>
    <w:rsid w:val="00500070"/>
    <w:rsid w:val="00500DA7"/>
    <w:rsid w:val="00502AE0"/>
    <w:rsid w:val="00504EEC"/>
    <w:rsid w:val="00506B56"/>
    <w:rsid w:val="00511705"/>
    <w:rsid w:val="00511AD6"/>
    <w:rsid w:val="00511F25"/>
    <w:rsid w:val="00512D92"/>
    <w:rsid w:val="005131C6"/>
    <w:rsid w:val="005149AA"/>
    <w:rsid w:val="00515400"/>
    <w:rsid w:val="005165A4"/>
    <w:rsid w:val="00517852"/>
    <w:rsid w:val="00521DE2"/>
    <w:rsid w:val="0052375B"/>
    <w:rsid w:val="00524A53"/>
    <w:rsid w:val="00526294"/>
    <w:rsid w:val="00527532"/>
    <w:rsid w:val="005305B9"/>
    <w:rsid w:val="00533BAC"/>
    <w:rsid w:val="00534314"/>
    <w:rsid w:val="0053508E"/>
    <w:rsid w:val="00535629"/>
    <w:rsid w:val="00536424"/>
    <w:rsid w:val="005364F3"/>
    <w:rsid w:val="00541028"/>
    <w:rsid w:val="00542D6B"/>
    <w:rsid w:val="00542FF0"/>
    <w:rsid w:val="00543C06"/>
    <w:rsid w:val="0054449E"/>
    <w:rsid w:val="00545008"/>
    <w:rsid w:val="00547A76"/>
    <w:rsid w:val="005543CC"/>
    <w:rsid w:val="005546B2"/>
    <w:rsid w:val="0055588E"/>
    <w:rsid w:val="00560294"/>
    <w:rsid w:val="00560535"/>
    <w:rsid w:val="00560D33"/>
    <w:rsid w:val="00562A27"/>
    <w:rsid w:val="00563CAA"/>
    <w:rsid w:val="00563EEA"/>
    <w:rsid w:val="00564078"/>
    <w:rsid w:val="0056539D"/>
    <w:rsid w:val="00565EE4"/>
    <w:rsid w:val="00566015"/>
    <w:rsid w:val="005663C4"/>
    <w:rsid w:val="0056752E"/>
    <w:rsid w:val="005717B5"/>
    <w:rsid w:val="00571970"/>
    <w:rsid w:val="00573768"/>
    <w:rsid w:val="00576909"/>
    <w:rsid w:val="005804B3"/>
    <w:rsid w:val="00582D8C"/>
    <w:rsid w:val="00584501"/>
    <w:rsid w:val="0058545B"/>
    <w:rsid w:val="005854C4"/>
    <w:rsid w:val="005854F1"/>
    <w:rsid w:val="00585E13"/>
    <w:rsid w:val="00586405"/>
    <w:rsid w:val="00591197"/>
    <w:rsid w:val="005919A9"/>
    <w:rsid w:val="00593505"/>
    <w:rsid w:val="00595C65"/>
    <w:rsid w:val="00597C36"/>
    <w:rsid w:val="005A015B"/>
    <w:rsid w:val="005A0CAF"/>
    <w:rsid w:val="005A308A"/>
    <w:rsid w:val="005A3F1C"/>
    <w:rsid w:val="005A5793"/>
    <w:rsid w:val="005B2BED"/>
    <w:rsid w:val="005B3CB3"/>
    <w:rsid w:val="005B4598"/>
    <w:rsid w:val="005C1775"/>
    <w:rsid w:val="005C3648"/>
    <w:rsid w:val="005C59DB"/>
    <w:rsid w:val="005C5D0A"/>
    <w:rsid w:val="005C7C4D"/>
    <w:rsid w:val="005C7DDC"/>
    <w:rsid w:val="005D0C52"/>
    <w:rsid w:val="005D29E1"/>
    <w:rsid w:val="005D327F"/>
    <w:rsid w:val="005D5579"/>
    <w:rsid w:val="005D6525"/>
    <w:rsid w:val="005D6769"/>
    <w:rsid w:val="005D693D"/>
    <w:rsid w:val="005D6BD4"/>
    <w:rsid w:val="005D7986"/>
    <w:rsid w:val="005E118B"/>
    <w:rsid w:val="005E191F"/>
    <w:rsid w:val="005E1998"/>
    <w:rsid w:val="005E2445"/>
    <w:rsid w:val="005E4936"/>
    <w:rsid w:val="005E6537"/>
    <w:rsid w:val="005E7A8B"/>
    <w:rsid w:val="005F0266"/>
    <w:rsid w:val="005F3416"/>
    <w:rsid w:val="005F7676"/>
    <w:rsid w:val="005F7C7F"/>
    <w:rsid w:val="00600E13"/>
    <w:rsid w:val="00600EBF"/>
    <w:rsid w:val="00601F6D"/>
    <w:rsid w:val="006023C8"/>
    <w:rsid w:val="006025BE"/>
    <w:rsid w:val="006028D5"/>
    <w:rsid w:val="0060371E"/>
    <w:rsid w:val="00603DCD"/>
    <w:rsid w:val="00605220"/>
    <w:rsid w:val="0060626E"/>
    <w:rsid w:val="00606BAD"/>
    <w:rsid w:val="00606CE0"/>
    <w:rsid w:val="00607515"/>
    <w:rsid w:val="00611FB3"/>
    <w:rsid w:val="0061278F"/>
    <w:rsid w:val="00612ADC"/>
    <w:rsid w:val="00612D25"/>
    <w:rsid w:val="0061316A"/>
    <w:rsid w:val="0061326F"/>
    <w:rsid w:val="006142C0"/>
    <w:rsid w:val="006148E3"/>
    <w:rsid w:val="00614D3B"/>
    <w:rsid w:val="00616A99"/>
    <w:rsid w:val="00617E00"/>
    <w:rsid w:val="00620578"/>
    <w:rsid w:val="00622B9D"/>
    <w:rsid w:val="00622C10"/>
    <w:rsid w:val="0062335C"/>
    <w:rsid w:val="006233D9"/>
    <w:rsid w:val="00623C5D"/>
    <w:rsid w:val="006248BF"/>
    <w:rsid w:val="006264A2"/>
    <w:rsid w:val="00626851"/>
    <w:rsid w:val="006322BE"/>
    <w:rsid w:val="00633680"/>
    <w:rsid w:val="00633A76"/>
    <w:rsid w:val="00633F79"/>
    <w:rsid w:val="006353C6"/>
    <w:rsid w:val="00637CF0"/>
    <w:rsid w:val="006400A7"/>
    <w:rsid w:val="0064034E"/>
    <w:rsid w:val="00643E2D"/>
    <w:rsid w:val="00645041"/>
    <w:rsid w:val="0064512D"/>
    <w:rsid w:val="006452A6"/>
    <w:rsid w:val="006466DF"/>
    <w:rsid w:val="006473C8"/>
    <w:rsid w:val="006503D0"/>
    <w:rsid w:val="00650B77"/>
    <w:rsid w:val="00651287"/>
    <w:rsid w:val="00651368"/>
    <w:rsid w:val="0065141F"/>
    <w:rsid w:val="00651D7A"/>
    <w:rsid w:val="0065330C"/>
    <w:rsid w:val="00654765"/>
    <w:rsid w:val="00655CC2"/>
    <w:rsid w:val="00660BDF"/>
    <w:rsid w:val="00662FD5"/>
    <w:rsid w:val="0066394A"/>
    <w:rsid w:val="00663FE8"/>
    <w:rsid w:val="0066481F"/>
    <w:rsid w:val="006652E2"/>
    <w:rsid w:val="006657D4"/>
    <w:rsid w:val="00665EB0"/>
    <w:rsid w:val="0066693C"/>
    <w:rsid w:val="00667EAC"/>
    <w:rsid w:val="00670279"/>
    <w:rsid w:val="00674A82"/>
    <w:rsid w:val="00675241"/>
    <w:rsid w:val="00675A6F"/>
    <w:rsid w:val="00676116"/>
    <w:rsid w:val="006772C6"/>
    <w:rsid w:val="0068026A"/>
    <w:rsid w:val="0068027D"/>
    <w:rsid w:val="0068623B"/>
    <w:rsid w:val="006878B8"/>
    <w:rsid w:val="00691D9E"/>
    <w:rsid w:val="006931D5"/>
    <w:rsid w:val="00694D19"/>
    <w:rsid w:val="006956DD"/>
    <w:rsid w:val="00696570"/>
    <w:rsid w:val="0069691A"/>
    <w:rsid w:val="006970CA"/>
    <w:rsid w:val="006A0974"/>
    <w:rsid w:val="006A49D9"/>
    <w:rsid w:val="006A5213"/>
    <w:rsid w:val="006A5C17"/>
    <w:rsid w:val="006A6DC9"/>
    <w:rsid w:val="006A6E0C"/>
    <w:rsid w:val="006B0F1F"/>
    <w:rsid w:val="006B21D5"/>
    <w:rsid w:val="006B2349"/>
    <w:rsid w:val="006B2363"/>
    <w:rsid w:val="006B3546"/>
    <w:rsid w:val="006B626C"/>
    <w:rsid w:val="006B6766"/>
    <w:rsid w:val="006B6C25"/>
    <w:rsid w:val="006C4253"/>
    <w:rsid w:val="006C4271"/>
    <w:rsid w:val="006C622C"/>
    <w:rsid w:val="006D0001"/>
    <w:rsid w:val="006D0A31"/>
    <w:rsid w:val="006D0A58"/>
    <w:rsid w:val="006D0B7F"/>
    <w:rsid w:val="006D1825"/>
    <w:rsid w:val="006D1D23"/>
    <w:rsid w:val="006D3A14"/>
    <w:rsid w:val="006D41E4"/>
    <w:rsid w:val="006D488E"/>
    <w:rsid w:val="006D4B51"/>
    <w:rsid w:val="006D514E"/>
    <w:rsid w:val="006D5D3B"/>
    <w:rsid w:val="006D6096"/>
    <w:rsid w:val="006D6F92"/>
    <w:rsid w:val="006E047E"/>
    <w:rsid w:val="006E27C4"/>
    <w:rsid w:val="006E2E02"/>
    <w:rsid w:val="006E3B6B"/>
    <w:rsid w:val="006E4B15"/>
    <w:rsid w:val="006E6599"/>
    <w:rsid w:val="006E7738"/>
    <w:rsid w:val="006F04E8"/>
    <w:rsid w:val="006F0987"/>
    <w:rsid w:val="006F131A"/>
    <w:rsid w:val="006F1826"/>
    <w:rsid w:val="006F23E6"/>
    <w:rsid w:val="006F67B5"/>
    <w:rsid w:val="00700980"/>
    <w:rsid w:val="00702061"/>
    <w:rsid w:val="00703CC6"/>
    <w:rsid w:val="007061B1"/>
    <w:rsid w:val="00707642"/>
    <w:rsid w:val="00707BB3"/>
    <w:rsid w:val="007108E6"/>
    <w:rsid w:val="007111ED"/>
    <w:rsid w:val="007114A9"/>
    <w:rsid w:val="0071383C"/>
    <w:rsid w:val="007157E0"/>
    <w:rsid w:val="007167F2"/>
    <w:rsid w:val="0071771B"/>
    <w:rsid w:val="00717AA7"/>
    <w:rsid w:val="00720E54"/>
    <w:rsid w:val="007211D2"/>
    <w:rsid w:val="007213EA"/>
    <w:rsid w:val="00721DA8"/>
    <w:rsid w:val="007225E1"/>
    <w:rsid w:val="00723FC2"/>
    <w:rsid w:val="00724F98"/>
    <w:rsid w:val="00726506"/>
    <w:rsid w:val="00727B44"/>
    <w:rsid w:val="00727D14"/>
    <w:rsid w:val="007320EB"/>
    <w:rsid w:val="007332FF"/>
    <w:rsid w:val="00733459"/>
    <w:rsid w:val="00733E5D"/>
    <w:rsid w:val="00734D2B"/>
    <w:rsid w:val="0073634D"/>
    <w:rsid w:val="00737C5D"/>
    <w:rsid w:val="00740F17"/>
    <w:rsid w:val="0074238A"/>
    <w:rsid w:val="00742D47"/>
    <w:rsid w:val="0074300E"/>
    <w:rsid w:val="007430B7"/>
    <w:rsid w:val="00745AF0"/>
    <w:rsid w:val="0074651C"/>
    <w:rsid w:val="00752DFD"/>
    <w:rsid w:val="007530C1"/>
    <w:rsid w:val="0075400B"/>
    <w:rsid w:val="007550D1"/>
    <w:rsid w:val="00756A41"/>
    <w:rsid w:val="00756F47"/>
    <w:rsid w:val="007572CC"/>
    <w:rsid w:val="00761BD0"/>
    <w:rsid w:val="00761FB3"/>
    <w:rsid w:val="00764494"/>
    <w:rsid w:val="00764DCF"/>
    <w:rsid w:val="00765E5F"/>
    <w:rsid w:val="00766696"/>
    <w:rsid w:val="0076732B"/>
    <w:rsid w:val="007677FC"/>
    <w:rsid w:val="00767F3C"/>
    <w:rsid w:val="00770978"/>
    <w:rsid w:val="00771A6D"/>
    <w:rsid w:val="007744D1"/>
    <w:rsid w:val="007751E1"/>
    <w:rsid w:val="00775406"/>
    <w:rsid w:val="00775487"/>
    <w:rsid w:val="007755AC"/>
    <w:rsid w:val="007772DE"/>
    <w:rsid w:val="00781128"/>
    <w:rsid w:val="007824E7"/>
    <w:rsid w:val="00782816"/>
    <w:rsid w:val="007846AB"/>
    <w:rsid w:val="00784D4E"/>
    <w:rsid w:val="00786030"/>
    <w:rsid w:val="007861A3"/>
    <w:rsid w:val="0078687F"/>
    <w:rsid w:val="0078724D"/>
    <w:rsid w:val="00787E2F"/>
    <w:rsid w:val="00793438"/>
    <w:rsid w:val="00793C46"/>
    <w:rsid w:val="00793CF2"/>
    <w:rsid w:val="007A03AE"/>
    <w:rsid w:val="007A2159"/>
    <w:rsid w:val="007A2D60"/>
    <w:rsid w:val="007A2F35"/>
    <w:rsid w:val="007A2F52"/>
    <w:rsid w:val="007A4B2C"/>
    <w:rsid w:val="007A57FE"/>
    <w:rsid w:val="007A5BFD"/>
    <w:rsid w:val="007A6D8B"/>
    <w:rsid w:val="007A6FDC"/>
    <w:rsid w:val="007B0EC4"/>
    <w:rsid w:val="007B3D3D"/>
    <w:rsid w:val="007B5DD5"/>
    <w:rsid w:val="007C01F2"/>
    <w:rsid w:val="007C1983"/>
    <w:rsid w:val="007C2525"/>
    <w:rsid w:val="007C3D07"/>
    <w:rsid w:val="007C6312"/>
    <w:rsid w:val="007C652F"/>
    <w:rsid w:val="007C6C2A"/>
    <w:rsid w:val="007C6EA9"/>
    <w:rsid w:val="007D1427"/>
    <w:rsid w:val="007D19E5"/>
    <w:rsid w:val="007D2846"/>
    <w:rsid w:val="007D2C7E"/>
    <w:rsid w:val="007D2E4A"/>
    <w:rsid w:val="007D38F6"/>
    <w:rsid w:val="007D5D2A"/>
    <w:rsid w:val="007D6510"/>
    <w:rsid w:val="007D6731"/>
    <w:rsid w:val="007E1C9E"/>
    <w:rsid w:val="007E2303"/>
    <w:rsid w:val="007E3EEF"/>
    <w:rsid w:val="007E457F"/>
    <w:rsid w:val="007E7590"/>
    <w:rsid w:val="007E76F4"/>
    <w:rsid w:val="007E7E9B"/>
    <w:rsid w:val="007F1970"/>
    <w:rsid w:val="007F238F"/>
    <w:rsid w:val="007F413F"/>
    <w:rsid w:val="007F49B8"/>
    <w:rsid w:val="007F49D7"/>
    <w:rsid w:val="007F793A"/>
    <w:rsid w:val="00800510"/>
    <w:rsid w:val="008046E4"/>
    <w:rsid w:val="00806984"/>
    <w:rsid w:val="008069CD"/>
    <w:rsid w:val="00807153"/>
    <w:rsid w:val="00807FBA"/>
    <w:rsid w:val="00810BD3"/>
    <w:rsid w:val="00811650"/>
    <w:rsid w:val="00811C2C"/>
    <w:rsid w:val="0081258F"/>
    <w:rsid w:val="008167B4"/>
    <w:rsid w:val="00820677"/>
    <w:rsid w:val="00821842"/>
    <w:rsid w:val="00821A6D"/>
    <w:rsid w:val="00822894"/>
    <w:rsid w:val="008242A1"/>
    <w:rsid w:val="008247B3"/>
    <w:rsid w:val="008248E9"/>
    <w:rsid w:val="00825671"/>
    <w:rsid w:val="008256E2"/>
    <w:rsid w:val="00826F97"/>
    <w:rsid w:val="00827E70"/>
    <w:rsid w:val="00830A58"/>
    <w:rsid w:val="00831B82"/>
    <w:rsid w:val="00831BBE"/>
    <w:rsid w:val="00835E1B"/>
    <w:rsid w:val="00837BE0"/>
    <w:rsid w:val="00841437"/>
    <w:rsid w:val="00841471"/>
    <w:rsid w:val="00841D60"/>
    <w:rsid w:val="00844757"/>
    <w:rsid w:val="00845B49"/>
    <w:rsid w:val="00846186"/>
    <w:rsid w:val="0084766B"/>
    <w:rsid w:val="00847D40"/>
    <w:rsid w:val="008508B6"/>
    <w:rsid w:val="00852466"/>
    <w:rsid w:val="00853708"/>
    <w:rsid w:val="00853DE2"/>
    <w:rsid w:val="008552AA"/>
    <w:rsid w:val="00855B35"/>
    <w:rsid w:val="008568F6"/>
    <w:rsid w:val="0085715C"/>
    <w:rsid w:val="0086067C"/>
    <w:rsid w:val="008615B6"/>
    <w:rsid w:val="008627D9"/>
    <w:rsid w:val="00862CB8"/>
    <w:rsid w:val="00864EFB"/>
    <w:rsid w:val="008656D9"/>
    <w:rsid w:val="0086683E"/>
    <w:rsid w:val="00871DAE"/>
    <w:rsid w:val="00872948"/>
    <w:rsid w:val="00872A38"/>
    <w:rsid w:val="00873826"/>
    <w:rsid w:val="00874E6F"/>
    <w:rsid w:val="0087695D"/>
    <w:rsid w:val="00881E85"/>
    <w:rsid w:val="00882A31"/>
    <w:rsid w:val="0088499E"/>
    <w:rsid w:val="008850D1"/>
    <w:rsid w:val="00886097"/>
    <w:rsid w:val="00886FC1"/>
    <w:rsid w:val="00887C14"/>
    <w:rsid w:val="00890574"/>
    <w:rsid w:val="0089170C"/>
    <w:rsid w:val="00893354"/>
    <w:rsid w:val="00894037"/>
    <w:rsid w:val="008973A0"/>
    <w:rsid w:val="008A03C8"/>
    <w:rsid w:val="008A0E89"/>
    <w:rsid w:val="008A2434"/>
    <w:rsid w:val="008A24E3"/>
    <w:rsid w:val="008A3AAD"/>
    <w:rsid w:val="008A64DF"/>
    <w:rsid w:val="008B022D"/>
    <w:rsid w:val="008B0304"/>
    <w:rsid w:val="008B0EB1"/>
    <w:rsid w:val="008B1615"/>
    <w:rsid w:val="008B3EA6"/>
    <w:rsid w:val="008B43F6"/>
    <w:rsid w:val="008B65E4"/>
    <w:rsid w:val="008B764B"/>
    <w:rsid w:val="008B7C87"/>
    <w:rsid w:val="008C11F2"/>
    <w:rsid w:val="008C1B97"/>
    <w:rsid w:val="008C48E7"/>
    <w:rsid w:val="008C4A36"/>
    <w:rsid w:val="008C7415"/>
    <w:rsid w:val="008C7CD3"/>
    <w:rsid w:val="008D0FA3"/>
    <w:rsid w:val="008D105D"/>
    <w:rsid w:val="008D141F"/>
    <w:rsid w:val="008D2BDB"/>
    <w:rsid w:val="008D4488"/>
    <w:rsid w:val="008D47E9"/>
    <w:rsid w:val="008D59AA"/>
    <w:rsid w:val="008E0B37"/>
    <w:rsid w:val="008E151A"/>
    <w:rsid w:val="008E1F98"/>
    <w:rsid w:val="008E4284"/>
    <w:rsid w:val="008E44CF"/>
    <w:rsid w:val="008E4606"/>
    <w:rsid w:val="008E598D"/>
    <w:rsid w:val="008E5EC4"/>
    <w:rsid w:val="008E6684"/>
    <w:rsid w:val="008E67AC"/>
    <w:rsid w:val="008E7C3E"/>
    <w:rsid w:val="008E7CC1"/>
    <w:rsid w:val="008F244F"/>
    <w:rsid w:val="008F36DB"/>
    <w:rsid w:val="008F3C79"/>
    <w:rsid w:val="008F5473"/>
    <w:rsid w:val="008F6252"/>
    <w:rsid w:val="008F68F1"/>
    <w:rsid w:val="0090119E"/>
    <w:rsid w:val="00903F6D"/>
    <w:rsid w:val="009052FA"/>
    <w:rsid w:val="00905881"/>
    <w:rsid w:val="0091376F"/>
    <w:rsid w:val="00914148"/>
    <w:rsid w:val="00914458"/>
    <w:rsid w:val="00914979"/>
    <w:rsid w:val="00917483"/>
    <w:rsid w:val="00920EBC"/>
    <w:rsid w:val="0092161D"/>
    <w:rsid w:val="00922C86"/>
    <w:rsid w:val="00922D8F"/>
    <w:rsid w:val="00924190"/>
    <w:rsid w:val="00924382"/>
    <w:rsid w:val="00924630"/>
    <w:rsid w:val="00926186"/>
    <w:rsid w:val="00926208"/>
    <w:rsid w:val="00926FA1"/>
    <w:rsid w:val="00932455"/>
    <w:rsid w:val="00934082"/>
    <w:rsid w:val="00934F83"/>
    <w:rsid w:val="009358BD"/>
    <w:rsid w:val="00936FD7"/>
    <w:rsid w:val="009370C1"/>
    <w:rsid w:val="00937D3B"/>
    <w:rsid w:val="00942437"/>
    <w:rsid w:val="00943D71"/>
    <w:rsid w:val="009448C9"/>
    <w:rsid w:val="00944A68"/>
    <w:rsid w:val="00945B66"/>
    <w:rsid w:val="009466E4"/>
    <w:rsid w:val="009512F8"/>
    <w:rsid w:val="009552E3"/>
    <w:rsid w:val="00955D8C"/>
    <w:rsid w:val="00957AED"/>
    <w:rsid w:val="00960C7B"/>
    <w:rsid w:val="00961CAF"/>
    <w:rsid w:val="00964587"/>
    <w:rsid w:val="00967A87"/>
    <w:rsid w:val="0097103F"/>
    <w:rsid w:val="0097434F"/>
    <w:rsid w:val="00974CE9"/>
    <w:rsid w:val="0097560B"/>
    <w:rsid w:val="00980A41"/>
    <w:rsid w:val="00982CA2"/>
    <w:rsid w:val="00983AE1"/>
    <w:rsid w:val="009842F1"/>
    <w:rsid w:val="00984B0E"/>
    <w:rsid w:val="00984C71"/>
    <w:rsid w:val="00985562"/>
    <w:rsid w:val="00986730"/>
    <w:rsid w:val="009907F6"/>
    <w:rsid w:val="00991916"/>
    <w:rsid w:val="0099210A"/>
    <w:rsid w:val="00993D78"/>
    <w:rsid w:val="0099459B"/>
    <w:rsid w:val="00994BA3"/>
    <w:rsid w:val="00995216"/>
    <w:rsid w:val="00995551"/>
    <w:rsid w:val="00995931"/>
    <w:rsid w:val="00995FAE"/>
    <w:rsid w:val="009977B7"/>
    <w:rsid w:val="009A21D6"/>
    <w:rsid w:val="009A243B"/>
    <w:rsid w:val="009A2BEC"/>
    <w:rsid w:val="009A36F8"/>
    <w:rsid w:val="009A4049"/>
    <w:rsid w:val="009A4590"/>
    <w:rsid w:val="009A645C"/>
    <w:rsid w:val="009A67E2"/>
    <w:rsid w:val="009B0A6A"/>
    <w:rsid w:val="009B0C08"/>
    <w:rsid w:val="009B1225"/>
    <w:rsid w:val="009B210B"/>
    <w:rsid w:val="009B2F62"/>
    <w:rsid w:val="009B3EEE"/>
    <w:rsid w:val="009B71B0"/>
    <w:rsid w:val="009C0383"/>
    <w:rsid w:val="009C06B0"/>
    <w:rsid w:val="009C1808"/>
    <w:rsid w:val="009C25BE"/>
    <w:rsid w:val="009C3404"/>
    <w:rsid w:val="009C5950"/>
    <w:rsid w:val="009C59E1"/>
    <w:rsid w:val="009D0234"/>
    <w:rsid w:val="009D2297"/>
    <w:rsid w:val="009D52EE"/>
    <w:rsid w:val="009D5429"/>
    <w:rsid w:val="009D5457"/>
    <w:rsid w:val="009D5FBE"/>
    <w:rsid w:val="009D64C2"/>
    <w:rsid w:val="009E0212"/>
    <w:rsid w:val="009E027A"/>
    <w:rsid w:val="009E0A7F"/>
    <w:rsid w:val="009E0FFD"/>
    <w:rsid w:val="009E350F"/>
    <w:rsid w:val="009E3F83"/>
    <w:rsid w:val="009E4ECD"/>
    <w:rsid w:val="009E69B1"/>
    <w:rsid w:val="009F0545"/>
    <w:rsid w:val="009F0904"/>
    <w:rsid w:val="009F0BB2"/>
    <w:rsid w:val="009F145D"/>
    <w:rsid w:val="009F24AA"/>
    <w:rsid w:val="009F49DC"/>
    <w:rsid w:val="009F4AF7"/>
    <w:rsid w:val="009F526F"/>
    <w:rsid w:val="009F6710"/>
    <w:rsid w:val="00A000AA"/>
    <w:rsid w:val="00A00339"/>
    <w:rsid w:val="00A0035F"/>
    <w:rsid w:val="00A013C6"/>
    <w:rsid w:val="00A01470"/>
    <w:rsid w:val="00A02357"/>
    <w:rsid w:val="00A025EF"/>
    <w:rsid w:val="00A02729"/>
    <w:rsid w:val="00A032CB"/>
    <w:rsid w:val="00A05AA4"/>
    <w:rsid w:val="00A06008"/>
    <w:rsid w:val="00A062F4"/>
    <w:rsid w:val="00A100CB"/>
    <w:rsid w:val="00A1024F"/>
    <w:rsid w:val="00A10650"/>
    <w:rsid w:val="00A1183D"/>
    <w:rsid w:val="00A138E5"/>
    <w:rsid w:val="00A14D24"/>
    <w:rsid w:val="00A15158"/>
    <w:rsid w:val="00A15594"/>
    <w:rsid w:val="00A17935"/>
    <w:rsid w:val="00A17A3C"/>
    <w:rsid w:val="00A17F9B"/>
    <w:rsid w:val="00A227E8"/>
    <w:rsid w:val="00A25B44"/>
    <w:rsid w:val="00A26B05"/>
    <w:rsid w:val="00A2701C"/>
    <w:rsid w:val="00A2773B"/>
    <w:rsid w:val="00A27796"/>
    <w:rsid w:val="00A3074E"/>
    <w:rsid w:val="00A30BDE"/>
    <w:rsid w:val="00A3609E"/>
    <w:rsid w:val="00A3724E"/>
    <w:rsid w:val="00A43A8C"/>
    <w:rsid w:val="00A43AD0"/>
    <w:rsid w:val="00A44E5B"/>
    <w:rsid w:val="00A45658"/>
    <w:rsid w:val="00A47A51"/>
    <w:rsid w:val="00A51B28"/>
    <w:rsid w:val="00A52677"/>
    <w:rsid w:val="00A52BB3"/>
    <w:rsid w:val="00A52BB8"/>
    <w:rsid w:val="00A54191"/>
    <w:rsid w:val="00A558C4"/>
    <w:rsid w:val="00A5658D"/>
    <w:rsid w:val="00A5717A"/>
    <w:rsid w:val="00A57966"/>
    <w:rsid w:val="00A62844"/>
    <w:rsid w:val="00A62C38"/>
    <w:rsid w:val="00A633B7"/>
    <w:rsid w:val="00A633EC"/>
    <w:rsid w:val="00A645BE"/>
    <w:rsid w:val="00A6468F"/>
    <w:rsid w:val="00A64D25"/>
    <w:rsid w:val="00A65D0C"/>
    <w:rsid w:val="00A70501"/>
    <w:rsid w:val="00A70FCF"/>
    <w:rsid w:val="00A71C90"/>
    <w:rsid w:val="00A73092"/>
    <w:rsid w:val="00A7323A"/>
    <w:rsid w:val="00A735A9"/>
    <w:rsid w:val="00A738AB"/>
    <w:rsid w:val="00A7416F"/>
    <w:rsid w:val="00A7575A"/>
    <w:rsid w:val="00A76373"/>
    <w:rsid w:val="00A82329"/>
    <w:rsid w:val="00A85047"/>
    <w:rsid w:val="00A85254"/>
    <w:rsid w:val="00A86D72"/>
    <w:rsid w:val="00A9079E"/>
    <w:rsid w:val="00A9224A"/>
    <w:rsid w:val="00A92426"/>
    <w:rsid w:val="00A92A0A"/>
    <w:rsid w:val="00A92A5B"/>
    <w:rsid w:val="00A94C14"/>
    <w:rsid w:val="00A963D9"/>
    <w:rsid w:val="00A972D7"/>
    <w:rsid w:val="00AA0199"/>
    <w:rsid w:val="00AA0486"/>
    <w:rsid w:val="00AA09E6"/>
    <w:rsid w:val="00AA1057"/>
    <w:rsid w:val="00AA1351"/>
    <w:rsid w:val="00AA337E"/>
    <w:rsid w:val="00AA3DB2"/>
    <w:rsid w:val="00AA6ED4"/>
    <w:rsid w:val="00AA7771"/>
    <w:rsid w:val="00AA7AD2"/>
    <w:rsid w:val="00AB12A2"/>
    <w:rsid w:val="00AB2DB5"/>
    <w:rsid w:val="00AB3C34"/>
    <w:rsid w:val="00AB40A0"/>
    <w:rsid w:val="00AB673D"/>
    <w:rsid w:val="00AB6C23"/>
    <w:rsid w:val="00AB7CE5"/>
    <w:rsid w:val="00AC035E"/>
    <w:rsid w:val="00AC216D"/>
    <w:rsid w:val="00AC3330"/>
    <w:rsid w:val="00AC4530"/>
    <w:rsid w:val="00AC4985"/>
    <w:rsid w:val="00AD24D9"/>
    <w:rsid w:val="00AD48A3"/>
    <w:rsid w:val="00AD4C27"/>
    <w:rsid w:val="00AD64A6"/>
    <w:rsid w:val="00AD7156"/>
    <w:rsid w:val="00AD7843"/>
    <w:rsid w:val="00AE2054"/>
    <w:rsid w:val="00AE495D"/>
    <w:rsid w:val="00AE62DD"/>
    <w:rsid w:val="00AE6BBB"/>
    <w:rsid w:val="00AF2E34"/>
    <w:rsid w:val="00AF35A4"/>
    <w:rsid w:val="00AF78BE"/>
    <w:rsid w:val="00B00217"/>
    <w:rsid w:val="00B013AD"/>
    <w:rsid w:val="00B03ACA"/>
    <w:rsid w:val="00B04398"/>
    <w:rsid w:val="00B07E3E"/>
    <w:rsid w:val="00B118D9"/>
    <w:rsid w:val="00B11EFA"/>
    <w:rsid w:val="00B122D8"/>
    <w:rsid w:val="00B13BE8"/>
    <w:rsid w:val="00B1595D"/>
    <w:rsid w:val="00B15F64"/>
    <w:rsid w:val="00B16B02"/>
    <w:rsid w:val="00B16C0C"/>
    <w:rsid w:val="00B16CE0"/>
    <w:rsid w:val="00B1742C"/>
    <w:rsid w:val="00B2005C"/>
    <w:rsid w:val="00B2166D"/>
    <w:rsid w:val="00B234E9"/>
    <w:rsid w:val="00B24365"/>
    <w:rsid w:val="00B26D2A"/>
    <w:rsid w:val="00B277D6"/>
    <w:rsid w:val="00B27874"/>
    <w:rsid w:val="00B279F0"/>
    <w:rsid w:val="00B31FDA"/>
    <w:rsid w:val="00B3393F"/>
    <w:rsid w:val="00B3516A"/>
    <w:rsid w:val="00B355FD"/>
    <w:rsid w:val="00B35896"/>
    <w:rsid w:val="00B35A37"/>
    <w:rsid w:val="00B35CF4"/>
    <w:rsid w:val="00B3623F"/>
    <w:rsid w:val="00B40BC4"/>
    <w:rsid w:val="00B40DA7"/>
    <w:rsid w:val="00B41715"/>
    <w:rsid w:val="00B42797"/>
    <w:rsid w:val="00B428A7"/>
    <w:rsid w:val="00B42CDC"/>
    <w:rsid w:val="00B43708"/>
    <w:rsid w:val="00B44A95"/>
    <w:rsid w:val="00B44E5D"/>
    <w:rsid w:val="00B45423"/>
    <w:rsid w:val="00B4645C"/>
    <w:rsid w:val="00B47D33"/>
    <w:rsid w:val="00B50412"/>
    <w:rsid w:val="00B51081"/>
    <w:rsid w:val="00B5193F"/>
    <w:rsid w:val="00B522BF"/>
    <w:rsid w:val="00B5377E"/>
    <w:rsid w:val="00B56733"/>
    <w:rsid w:val="00B567D4"/>
    <w:rsid w:val="00B573C9"/>
    <w:rsid w:val="00B57B48"/>
    <w:rsid w:val="00B65245"/>
    <w:rsid w:val="00B65998"/>
    <w:rsid w:val="00B65AD4"/>
    <w:rsid w:val="00B66070"/>
    <w:rsid w:val="00B660DA"/>
    <w:rsid w:val="00B663C7"/>
    <w:rsid w:val="00B70F43"/>
    <w:rsid w:val="00B7148C"/>
    <w:rsid w:val="00B74E3F"/>
    <w:rsid w:val="00B76127"/>
    <w:rsid w:val="00B77059"/>
    <w:rsid w:val="00B77E25"/>
    <w:rsid w:val="00B80864"/>
    <w:rsid w:val="00B8109E"/>
    <w:rsid w:val="00B85D88"/>
    <w:rsid w:val="00B86A83"/>
    <w:rsid w:val="00B86C05"/>
    <w:rsid w:val="00B915D6"/>
    <w:rsid w:val="00B932B3"/>
    <w:rsid w:val="00B939D4"/>
    <w:rsid w:val="00B94BDC"/>
    <w:rsid w:val="00B96C1B"/>
    <w:rsid w:val="00B97433"/>
    <w:rsid w:val="00B977B3"/>
    <w:rsid w:val="00BA0B52"/>
    <w:rsid w:val="00BA1E44"/>
    <w:rsid w:val="00BA1EA5"/>
    <w:rsid w:val="00BA2A5D"/>
    <w:rsid w:val="00BA2E17"/>
    <w:rsid w:val="00BA46B0"/>
    <w:rsid w:val="00BA7CE4"/>
    <w:rsid w:val="00BB13DB"/>
    <w:rsid w:val="00BB168C"/>
    <w:rsid w:val="00BB20C9"/>
    <w:rsid w:val="00BB223D"/>
    <w:rsid w:val="00BB254F"/>
    <w:rsid w:val="00BB2CD4"/>
    <w:rsid w:val="00BB670D"/>
    <w:rsid w:val="00BB7B1B"/>
    <w:rsid w:val="00BC03F2"/>
    <w:rsid w:val="00BC0B25"/>
    <w:rsid w:val="00BC155B"/>
    <w:rsid w:val="00BC158A"/>
    <w:rsid w:val="00BC283B"/>
    <w:rsid w:val="00BC4B45"/>
    <w:rsid w:val="00BC4EB6"/>
    <w:rsid w:val="00BC630E"/>
    <w:rsid w:val="00BC635B"/>
    <w:rsid w:val="00BC693C"/>
    <w:rsid w:val="00BC6B1B"/>
    <w:rsid w:val="00BC75DC"/>
    <w:rsid w:val="00BD3306"/>
    <w:rsid w:val="00BD416E"/>
    <w:rsid w:val="00BD4A51"/>
    <w:rsid w:val="00BD4B69"/>
    <w:rsid w:val="00BD6E06"/>
    <w:rsid w:val="00BE3DAC"/>
    <w:rsid w:val="00BE4F00"/>
    <w:rsid w:val="00BE5023"/>
    <w:rsid w:val="00BE7741"/>
    <w:rsid w:val="00BF057E"/>
    <w:rsid w:val="00BF1259"/>
    <w:rsid w:val="00BF1ECC"/>
    <w:rsid w:val="00BF202F"/>
    <w:rsid w:val="00BF37EA"/>
    <w:rsid w:val="00BF3A64"/>
    <w:rsid w:val="00BF470E"/>
    <w:rsid w:val="00BF4ED7"/>
    <w:rsid w:val="00BF50F3"/>
    <w:rsid w:val="00BF519F"/>
    <w:rsid w:val="00BF624E"/>
    <w:rsid w:val="00BF68DB"/>
    <w:rsid w:val="00BF762F"/>
    <w:rsid w:val="00C01240"/>
    <w:rsid w:val="00C038E8"/>
    <w:rsid w:val="00C03BD9"/>
    <w:rsid w:val="00C03F5F"/>
    <w:rsid w:val="00C04CB0"/>
    <w:rsid w:val="00C056A5"/>
    <w:rsid w:val="00C0572A"/>
    <w:rsid w:val="00C06AFA"/>
    <w:rsid w:val="00C10563"/>
    <w:rsid w:val="00C10F53"/>
    <w:rsid w:val="00C10F83"/>
    <w:rsid w:val="00C11342"/>
    <w:rsid w:val="00C12529"/>
    <w:rsid w:val="00C1617B"/>
    <w:rsid w:val="00C17FDA"/>
    <w:rsid w:val="00C207B6"/>
    <w:rsid w:val="00C21E9B"/>
    <w:rsid w:val="00C220AC"/>
    <w:rsid w:val="00C2316E"/>
    <w:rsid w:val="00C233A3"/>
    <w:rsid w:val="00C23DF6"/>
    <w:rsid w:val="00C25071"/>
    <w:rsid w:val="00C25AA2"/>
    <w:rsid w:val="00C27009"/>
    <w:rsid w:val="00C27D5B"/>
    <w:rsid w:val="00C30935"/>
    <w:rsid w:val="00C317E7"/>
    <w:rsid w:val="00C3241F"/>
    <w:rsid w:val="00C33661"/>
    <w:rsid w:val="00C35537"/>
    <w:rsid w:val="00C41B6B"/>
    <w:rsid w:val="00C43673"/>
    <w:rsid w:val="00C46598"/>
    <w:rsid w:val="00C476AF"/>
    <w:rsid w:val="00C47DB8"/>
    <w:rsid w:val="00C50B86"/>
    <w:rsid w:val="00C52549"/>
    <w:rsid w:val="00C5386F"/>
    <w:rsid w:val="00C53F7B"/>
    <w:rsid w:val="00C53FE7"/>
    <w:rsid w:val="00C5400C"/>
    <w:rsid w:val="00C54366"/>
    <w:rsid w:val="00C5593A"/>
    <w:rsid w:val="00C55EAC"/>
    <w:rsid w:val="00C571B9"/>
    <w:rsid w:val="00C61311"/>
    <w:rsid w:val="00C61C99"/>
    <w:rsid w:val="00C63E4F"/>
    <w:rsid w:val="00C645C0"/>
    <w:rsid w:val="00C64E26"/>
    <w:rsid w:val="00C64E43"/>
    <w:rsid w:val="00C65778"/>
    <w:rsid w:val="00C659A7"/>
    <w:rsid w:val="00C7267E"/>
    <w:rsid w:val="00C728FA"/>
    <w:rsid w:val="00C72ABB"/>
    <w:rsid w:val="00C80572"/>
    <w:rsid w:val="00C82873"/>
    <w:rsid w:val="00C8413F"/>
    <w:rsid w:val="00C873D5"/>
    <w:rsid w:val="00C90E12"/>
    <w:rsid w:val="00C9326C"/>
    <w:rsid w:val="00C933B9"/>
    <w:rsid w:val="00C95414"/>
    <w:rsid w:val="00C9541C"/>
    <w:rsid w:val="00C95B94"/>
    <w:rsid w:val="00C95BEE"/>
    <w:rsid w:val="00C95E05"/>
    <w:rsid w:val="00C971D4"/>
    <w:rsid w:val="00CA0C77"/>
    <w:rsid w:val="00CA25FC"/>
    <w:rsid w:val="00CA2C6A"/>
    <w:rsid w:val="00CA3B0F"/>
    <w:rsid w:val="00CA3B5B"/>
    <w:rsid w:val="00CA46BF"/>
    <w:rsid w:val="00CA7C43"/>
    <w:rsid w:val="00CB03AB"/>
    <w:rsid w:val="00CB0518"/>
    <w:rsid w:val="00CB281B"/>
    <w:rsid w:val="00CB633E"/>
    <w:rsid w:val="00CB6CD2"/>
    <w:rsid w:val="00CB6EAA"/>
    <w:rsid w:val="00CB7B81"/>
    <w:rsid w:val="00CB7D12"/>
    <w:rsid w:val="00CC0A85"/>
    <w:rsid w:val="00CC462B"/>
    <w:rsid w:val="00CC556B"/>
    <w:rsid w:val="00CD1CEB"/>
    <w:rsid w:val="00CD3286"/>
    <w:rsid w:val="00CD64C6"/>
    <w:rsid w:val="00CD6635"/>
    <w:rsid w:val="00CE2387"/>
    <w:rsid w:val="00CE345C"/>
    <w:rsid w:val="00CE4C82"/>
    <w:rsid w:val="00CE5100"/>
    <w:rsid w:val="00CE5701"/>
    <w:rsid w:val="00CE6405"/>
    <w:rsid w:val="00CE78D9"/>
    <w:rsid w:val="00CF0C29"/>
    <w:rsid w:val="00CF0CDF"/>
    <w:rsid w:val="00CF2B67"/>
    <w:rsid w:val="00CF30AE"/>
    <w:rsid w:val="00CF39E8"/>
    <w:rsid w:val="00CF3A14"/>
    <w:rsid w:val="00CF3BC6"/>
    <w:rsid w:val="00CF3E0D"/>
    <w:rsid w:val="00CF4940"/>
    <w:rsid w:val="00CF4F0A"/>
    <w:rsid w:val="00CF6804"/>
    <w:rsid w:val="00CF68E7"/>
    <w:rsid w:val="00CF6D22"/>
    <w:rsid w:val="00D013C6"/>
    <w:rsid w:val="00D04A54"/>
    <w:rsid w:val="00D053A9"/>
    <w:rsid w:val="00D06C08"/>
    <w:rsid w:val="00D073EB"/>
    <w:rsid w:val="00D11310"/>
    <w:rsid w:val="00D113AE"/>
    <w:rsid w:val="00D1286B"/>
    <w:rsid w:val="00D130B1"/>
    <w:rsid w:val="00D13CDD"/>
    <w:rsid w:val="00D1574B"/>
    <w:rsid w:val="00D175D9"/>
    <w:rsid w:val="00D17F88"/>
    <w:rsid w:val="00D2127C"/>
    <w:rsid w:val="00D2207D"/>
    <w:rsid w:val="00D25EE2"/>
    <w:rsid w:val="00D261E0"/>
    <w:rsid w:val="00D268E4"/>
    <w:rsid w:val="00D2774F"/>
    <w:rsid w:val="00D30EC4"/>
    <w:rsid w:val="00D32256"/>
    <w:rsid w:val="00D32328"/>
    <w:rsid w:val="00D32CEB"/>
    <w:rsid w:val="00D32F55"/>
    <w:rsid w:val="00D35440"/>
    <w:rsid w:val="00D36283"/>
    <w:rsid w:val="00D36799"/>
    <w:rsid w:val="00D36EC6"/>
    <w:rsid w:val="00D37833"/>
    <w:rsid w:val="00D37CE7"/>
    <w:rsid w:val="00D40A54"/>
    <w:rsid w:val="00D42850"/>
    <w:rsid w:val="00D45DAD"/>
    <w:rsid w:val="00D47519"/>
    <w:rsid w:val="00D47559"/>
    <w:rsid w:val="00D533C2"/>
    <w:rsid w:val="00D53E03"/>
    <w:rsid w:val="00D5440F"/>
    <w:rsid w:val="00D55B92"/>
    <w:rsid w:val="00D55C08"/>
    <w:rsid w:val="00D56053"/>
    <w:rsid w:val="00D56163"/>
    <w:rsid w:val="00D57039"/>
    <w:rsid w:val="00D572CB"/>
    <w:rsid w:val="00D6007C"/>
    <w:rsid w:val="00D61FC6"/>
    <w:rsid w:val="00D63B02"/>
    <w:rsid w:val="00D66574"/>
    <w:rsid w:val="00D6697D"/>
    <w:rsid w:val="00D67C1F"/>
    <w:rsid w:val="00D70B69"/>
    <w:rsid w:val="00D717D8"/>
    <w:rsid w:val="00D71F12"/>
    <w:rsid w:val="00D73794"/>
    <w:rsid w:val="00D741D3"/>
    <w:rsid w:val="00D76502"/>
    <w:rsid w:val="00D770DE"/>
    <w:rsid w:val="00D77652"/>
    <w:rsid w:val="00D77E43"/>
    <w:rsid w:val="00D804F7"/>
    <w:rsid w:val="00D80DE5"/>
    <w:rsid w:val="00D82965"/>
    <w:rsid w:val="00D83E70"/>
    <w:rsid w:val="00D847BD"/>
    <w:rsid w:val="00D84F1F"/>
    <w:rsid w:val="00D84F43"/>
    <w:rsid w:val="00D86057"/>
    <w:rsid w:val="00D86FA1"/>
    <w:rsid w:val="00D871A6"/>
    <w:rsid w:val="00D90432"/>
    <w:rsid w:val="00D91639"/>
    <w:rsid w:val="00D919C3"/>
    <w:rsid w:val="00D91F07"/>
    <w:rsid w:val="00D93F50"/>
    <w:rsid w:val="00D94399"/>
    <w:rsid w:val="00D9511E"/>
    <w:rsid w:val="00D95897"/>
    <w:rsid w:val="00D964AA"/>
    <w:rsid w:val="00D97687"/>
    <w:rsid w:val="00DA0467"/>
    <w:rsid w:val="00DA259E"/>
    <w:rsid w:val="00DA389B"/>
    <w:rsid w:val="00DA4572"/>
    <w:rsid w:val="00DA4E64"/>
    <w:rsid w:val="00DB3D57"/>
    <w:rsid w:val="00DB4FCC"/>
    <w:rsid w:val="00DB5231"/>
    <w:rsid w:val="00DB62FA"/>
    <w:rsid w:val="00DB64B2"/>
    <w:rsid w:val="00DC01EE"/>
    <w:rsid w:val="00DC1329"/>
    <w:rsid w:val="00DC150B"/>
    <w:rsid w:val="00DC5D4A"/>
    <w:rsid w:val="00DC73D3"/>
    <w:rsid w:val="00DC7F11"/>
    <w:rsid w:val="00DD292A"/>
    <w:rsid w:val="00DD3416"/>
    <w:rsid w:val="00DD57A2"/>
    <w:rsid w:val="00DD58AD"/>
    <w:rsid w:val="00DD58AE"/>
    <w:rsid w:val="00DD6681"/>
    <w:rsid w:val="00DE06C5"/>
    <w:rsid w:val="00DE1F7A"/>
    <w:rsid w:val="00DE2420"/>
    <w:rsid w:val="00DE2D3D"/>
    <w:rsid w:val="00DE3ECF"/>
    <w:rsid w:val="00DE57EB"/>
    <w:rsid w:val="00DE7B24"/>
    <w:rsid w:val="00DF0E82"/>
    <w:rsid w:val="00DF2AAC"/>
    <w:rsid w:val="00DF3625"/>
    <w:rsid w:val="00DF4009"/>
    <w:rsid w:val="00DF4E88"/>
    <w:rsid w:val="00DF52EC"/>
    <w:rsid w:val="00DF5795"/>
    <w:rsid w:val="00DF5E7E"/>
    <w:rsid w:val="00DF60B4"/>
    <w:rsid w:val="00DF6492"/>
    <w:rsid w:val="00DF67C5"/>
    <w:rsid w:val="00DF7081"/>
    <w:rsid w:val="00DF7A06"/>
    <w:rsid w:val="00DF7E2D"/>
    <w:rsid w:val="00E046F4"/>
    <w:rsid w:val="00E04E3F"/>
    <w:rsid w:val="00E059F5"/>
    <w:rsid w:val="00E06273"/>
    <w:rsid w:val="00E065E0"/>
    <w:rsid w:val="00E1020F"/>
    <w:rsid w:val="00E14E52"/>
    <w:rsid w:val="00E157B0"/>
    <w:rsid w:val="00E163F2"/>
    <w:rsid w:val="00E17F2B"/>
    <w:rsid w:val="00E17F43"/>
    <w:rsid w:val="00E23F28"/>
    <w:rsid w:val="00E24EB3"/>
    <w:rsid w:val="00E2566E"/>
    <w:rsid w:val="00E25C27"/>
    <w:rsid w:val="00E26550"/>
    <w:rsid w:val="00E30020"/>
    <w:rsid w:val="00E30A67"/>
    <w:rsid w:val="00E30CCE"/>
    <w:rsid w:val="00E32529"/>
    <w:rsid w:val="00E34833"/>
    <w:rsid w:val="00E37039"/>
    <w:rsid w:val="00E37C7A"/>
    <w:rsid w:val="00E37C8E"/>
    <w:rsid w:val="00E41387"/>
    <w:rsid w:val="00E41687"/>
    <w:rsid w:val="00E42475"/>
    <w:rsid w:val="00E451AB"/>
    <w:rsid w:val="00E47BB0"/>
    <w:rsid w:val="00E50611"/>
    <w:rsid w:val="00E509E3"/>
    <w:rsid w:val="00E50B21"/>
    <w:rsid w:val="00E50ED0"/>
    <w:rsid w:val="00E52E8C"/>
    <w:rsid w:val="00E530CC"/>
    <w:rsid w:val="00E57AEC"/>
    <w:rsid w:val="00E57DE0"/>
    <w:rsid w:val="00E610C6"/>
    <w:rsid w:val="00E6220C"/>
    <w:rsid w:val="00E6265C"/>
    <w:rsid w:val="00E647A4"/>
    <w:rsid w:val="00E6496C"/>
    <w:rsid w:val="00E651BC"/>
    <w:rsid w:val="00E651D0"/>
    <w:rsid w:val="00E65B10"/>
    <w:rsid w:val="00E66E19"/>
    <w:rsid w:val="00E67750"/>
    <w:rsid w:val="00E70515"/>
    <w:rsid w:val="00E72F5A"/>
    <w:rsid w:val="00E7346B"/>
    <w:rsid w:val="00E73779"/>
    <w:rsid w:val="00E75885"/>
    <w:rsid w:val="00E764ED"/>
    <w:rsid w:val="00E768A6"/>
    <w:rsid w:val="00E769B5"/>
    <w:rsid w:val="00E76C37"/>
    <w:rsid w:val="00E76DB9"/>
    <w:rsid w:val="00E774D4"/>
    <w:rsid w:val="00E77ACE"/>
    <w:rsid w:val="00E80549"/>
    <w:rsid w:val="00E81C1F"/>
    <w:rsid w:val="00E81DA5"/>
    <w:rsid w:val="00E836B6"/>
    <w:rsid w:val="00E84098"/>
    <w:rsid w:val="00E859A7"/>
    <w:rsid w:val="00E9218B"/>
    <w:rsid w:val="00E92BDE"/>
    <w:rsid w:val="00E92D48"/>
    <w:rsid w:val="00E933AF"/>
    <w:rsid w:val="00E95ECC"/>
    <w:rsid w:val="00E97E04"/>
    <w:rsid w:val="00EA0F56"/>
    <w:rsid w:val="00EA1648"/>
    <w:rsid w:val="00EA176A"/>
    <w:rsid w:val="00EA2998"/>
    <w:rsid w:val="00EA3B0A"/>
    <w:rsid w:val="00EA40B5"/>
    <w:rsid w:val="00EA50DB"/>
    <w:rsid w:val="00EA658C"/>
    <w:rsid w:val="00EA7B7F"/>
    <w:rsid w:val="00EB0790"/>
    <w:rsid w:val="00EB3F40"/>
    <w:rsid w:val="00EB5501"/>
    <w:rsid w:val="00EB627E"/>
    <w:rsid w:val="00EB776C"/>
    <w:rsid w:val="00EB7CE2"/>
    <w:rsid w:val="00EC030D"/>
    <w:rsid w:val="00EC175C"/>
    <w:rsid w:val="00EC2D3C"/>
    <w:rsid w:val="00EC2FB6"/>
    <w:rsid w:val="00EC31FE"/>
    <w:rsid w:val="00EC37B6"/>
    <w:rsid w:val="00EC547A"/>
    <w:rsid w:val="00EC7AF8"/>
    <w:rsid w:val="00ED155E"/>
    <w:rsid w:val="00ED1884"/>
    <w:rsid w:val="00ED286C"/>
    <w:rsid w:val="00ED2FF4"/>
    <w:rsid w:val="00ED53BA"/>
    <w:rsid w:val="00ED67AD"/>
    <w:rsid w:val="00ED7027"/>
    <w:rsid w:val="00ED7345"/>
    <w:rsid w:val="00EE5A94"/>
    <w:rsid w:val="00EE653E"/>
    <w:rsid w:val="00EE6899"/>
    <w:rsid w:val="00EF24A2"/>
    <w:rsid w:val="00EF3C56"/>
    <w:rsid w:val="00EF3D3A"/>
    <w:rsid w:val="00EF5CA3"/>
    <w:rsid w:val="00EF6153"/>
    <w:rsid w:val="00EF62E8"/>
    <w:rsid w:val="00F001D3"/>
    <w:rsid w:val="00F01415"/>
    <w:rsid w:val="00F0164C"/>
    <w:rsid w:val="00F02781"/>
    <w:rsid w:val="00F02976"/>
    <w:rsid w:val="00F02DF0"/>
    <w:rsid w:val="00F03BF4"/>
    <w:rsid w:val="00F04CDD"/>
    <w:rsid w:val="00F06A66"/>
    <w:rsid w:val="00F0707A"/>
    <w:rsid w:val="00F07192"/>
    <w:rsid w:val="00F075EE"/>
    <w:rsid w:val="00F07F9F"/>
    <w:rsid w:val="00F12870"/>
    <w:rsid w:val="00F12A09"/>
    <w:rsid w:val="00F13278"/>
    <w:rsid w:val="00F15405"/>
    <w:rsid w:val="00F155B8"/>
    <w:rsid w:val="00F16546"/>
    <w:rsid w:val="00F175A5"/>
    <w:rsid w:val="00F21EED"/>
    <w:rsid w:val="00F22481"/>
    <w:rsid w:val="00F25A79"/>
    <w:rsid w:val="00F264D4"/>
    <w:rsid w:val="00F27560"/>
    <w:rsid w:val="00F27A6C"/>
    <w:rsid w:val="00F31294"/>
    <w:rsid w:val="00F32B12"/>
    <w:rsid w:val="00F34144"/>
    <w:rsid w:val="00F36FCE"/>
    <w:rsid w:val="00F371B1"/>
    <w:rsid w:val="00F37769"/>
    <w:rsid w:val="00F4104B"/>
    <w:rsid w:val="00F4109E"/>
    <w:rsid w:val="00F4121A"/>
    <w:rsid w:val="00F41B00"/>
    <w:rsid w:val="00F41C20"/>
    <w:rsid w:val="00F42176"/>
    <w:rsid w:val="00F428FD"/>
    <w:rsid w:val="00F43067"/>
    <w:rsid w:val="00F44AB2"/>
    <w:rsid w:val="00F44B9D"/>
    <w:rsid w:val="00F44E11"/>
    <w:rsid w:val="00F45410"/>
    <w:rsid w:val="00F456E5"/>
    <w:rsid w:val="00F47D87"/>
    <w:rsid w:val="00F47FED"/>
    <w:rsid w:val="00F50F7F"/>
    <w:rsid w:val="00F513DA"/>
    <w:rsid w:val="00F51988"/>
    <w:rsid w:val="00F51E76"/>
    <w:rsid w:val="00F531F5"/>
    <w:rsid w:val="00F538AE"/>
    <w:rsid w:val="00F538B1"/>
    <w:rsid w:val="00F547F1"/>
    <w:rsid w:val="00F54D50"/>
    <w:rsid w:val="00F55637"/>
    <w:rsid w:val="00F56C8F"/>
    <w:rsid w:val="00F6156A"/>
    <w:rsid w:val="00F61B82"/>
    <w:rsid w:val="00F62AB7"/>
    <w:rsid w:val="00F65089"/>
    <w:rsid w:val="00F6523C"/>
    <w:rsid w:val="00F65DB7"/>
    <w:rsid w:val="00F65E57"/>
    <w:rsid w:val="00F6786B"/>
    <w:rsid w:val="00F67EC2"/>
    <w:rsid w:val="00F70156"/>
    <w:rsid w:val="00F740A0"/>
    <w:rsid w:val="00F75AA9"/>
    <w:rsid w:val="00F769AB"/>
    <w:rsid w:val="00F76C60"/>
    <w:rsid w:val="00F77A6B"/>
    <w:rsid w:val="00F77F27"/>
    <w:rsid w:val="00F8277D"/>
    <w:rsid w:val="00F82BCD"/>
    <w:rsid w:val="00F84A9E"/>
    <w:rsid w:val="00F859EA"/>
    <w:rsid w:val="00F85C9B"/>
    <w:rsid w:val="00F85E78"/>
    <w:rsid w:val="00F876CF"/>
    <w:rsid w:val="00F87A83"/>
    <w:rsid w:val="00F9006F"/>
    <w:rsid w:val="00F910C2"/>
    <w:rsid w:val="00F91E54"/>
    <w:rsid w:val="00F92480"/>
    <w:rsid w:val="00F92F4C"/>
    <w:rsid w:val="00F95876"/>
    <w:rsid w:val="00F95ED2"/>
    <w:rsid w:val="00F96191"/>
    <w:rsid w:val="00F96AFA"/>
    <w:rsid w:val="00FA0A40"/>
    <w:rsid w:val="00FA2FAA"/>
    <w:rsid w:val="00FA466B"/>
    <w:rsid w:val="00FA4EF6"/>
    <w:rsid w:val="00FA6521"/>
    <w:rsid w:val="00FA73FC"/>
    <w:rsid w:val="00FB030E"/>
    <w:rsid w:val="00FB12D2"/>
    <w:rsid w:val="00FB2D75"/>
    <w:rsid w:val="00FB4666"/>
    <w:rsid w:val="00FB6C9B"/>
    <w:rsid w:val="00FB7324"/>
    <w:rsid w:val="00FB7EBF"/>
    <w:rsid w:val="00FC2363"/>
    <w:rsid w:val="00FC2A5D"/>
    <w:rsid w:val="00FC56F9"/>
    <w:rsid w:val="00FC606B"/>
    <w:rsid w:val="00FC6435"/>
    <w:rsid w:val="00FC6B61"/>
    <w:rsid w:val="00FD1CF7"/>
    <w:rsid w:val="00FD32BB"/>
    <w:rsid w:val="00FD5DDB"/>
    <w:rsid w:val="00FD6FD4"/>
    <w:rsid w:val="00FD7A8B"/>
    <w:rsid w:val="00FE172C"/>
    <w:rsid w:val="00FE25AB"/>
    <w:rsid w:val="00FE26D0"/>
    <w:rsid w:val="00FE29A6"/>
    <w:rsid w:val="00FE3F07"/>
    <w:rsid w:val="00FE405A"/>
    <w:rsid w:val="00FE4288"/>
    <w:rsid w:val="00FE77FB"/>
    <w:rsid w:val="00FE78DB"/>
    <w:rsid w:val="00FE7C6B"/>
    <w:rsid w:val="00FF011C"/>
    <w:rsid w:val="00FF1433"/>
    <w:rsid w:val="00FF1AEF"/>
    <w:rsid w:val="00FF3383"/>
    <w:rsid w:val="00FF5E6E"/>
    <w:rsid w:val="00FF6558"/>
    <w:rsid w:val="037E7C98"/>
    <w:rsid w:val="04E40F58"/>
    <w:rsid w:val="08AE69CD"/>
    <w:rsid w:val="09943CD7"/>
    <w:rsid w:val="0B194F3E"/>
    <w:rsid w:val="0DC560F6"/>
    <w:rsid w:val="0E7F7667"/>
    <w:rsid w:val="12E54A8E"/>
    <w:rsid w:val="13462A88"/>
    <w:rsid w:val="18D57CCC"/>
    <w:rsid w:val="18F814A7"/>
    <w:rsid w:val="193A42DF"/>
    <w:rsid w:val="1B3E4936"/>
    <w:rsid w:val="1CFE2E49"/>
    <w:rsid w:val="1F774D4F"/>
    <w:rsid w:val="21101ADF"/>
    <w:rsid w:val="241832D7"/>
    <w:rsid w:val="26767F67"/>
    <w:rsid w:val="28D9511D"/>
    <w:rsid w:val="2B5305A0"/>
    <w:rsid w:val="2C401128"/>
    <w:rsid w:val="2F9B75B1"/>
    <w:rsid w:val="2FFE41B8"/>
    <w:rsid w:val="31DB2BFE"/>
    <w:rsid w:val="3270547F"/>
    <w:rsid w:val="34DB3AFB"/>
    <w:rsid w:val="35C10549"/>
    <w:rsid w:val="36E5180C"/>
    <w:rsid w:val="38BB7497"/>
    <w:rsid w:val="38E331AC"/>
    <w:rsid w:val="3A3C462D"/>
    <w:rsid w:val="3C73403C"/>
    <w:rsid w:val="3E040F4F"/>
    <w:rsid w:val="3E134765"/>
    <w:rsid w:val="3FA141F3"/>
    <w:rsid w:val="3FF469B4"/>
    <w:rsid w:val="40C6524D"/>
    <w:rsid w:val="41325883"/>
    <w:rsid w:val="413D3C14"/>
    <w:rsid w:val="42A34C27"/>
    <w:rsid w:val="43056A83"/>
    <w:rsid w:val="43164825"/>
    <w:rsid w:val="433C351B"/>
    <w:rsid w:val="4484678E"/>
    <w:rsid w:val="44E45963"/>
    <w:rsid w:val="460444BA"/>
    <w:rsid w:val="472D079E"/>
    <w:rsid w:val="480A0A4E"/>
    <w:rsid w:val="487C657C"/>
    <w:rsid w:val="490D1114"/>
    <w:rsid w:val="49B25537"/>
    <w:rsid w:val="4BF4170D"/>
    <w:rsid w:val="4D940DD6"/>
    <w:rsid w:val="50D756B0"/>
    <w:rsid w:val="50DF55A2"/>
    <w:rsid w:val="51D03A2F"/>
    <w:rsid w:val="5357444A"/>
    <w:rsid w:val="53E0584F"/>
    <w:rsid w:val="55423337"/>
    <w:rsid w:val="58190213"/>
    <w:rsid w:val="586564D5"/>
    <w:rsid w:val="599F4187"/>
    <w:rsid w:val="61EE40B9"/>
    <w:rsid w:val="64E65F95"/>
    <w:rsid w:val="690B5C30"/>
    <w:rsid w:val="6A0F5575"/>
    <w:rsid w:val="6A402AF8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2"/>
    <w:unhideWhenUsed/>
    <w:qFormat/>
    <w:uiPriority w:val="99"/>
    <w:rPr>
      <w:rFonts w:ascii="华文仿宋" w:hAnsi="华文仿宋" w:eastAsia="华文仿宋"/>
      <w:sz w:val="18"/>
      <w:szCs w:val="18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page number"/>
    <w:basedOn w:val="6"/>
    <w:unhideWhenUsed/>
    <w:qFormat/>
    <w:uiPriority w:val="0"/>
  </w:style>
  <w:style w:type="table" w:styleId="9">
    <w:name w:val="Table Grid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0">
    <w:name w:val="样式1"/>
    <w:basedOn w:val="1"/>
    <w:link w:val="11"/>
    <w:qFormat/>
    <w:uiPriority w:val="0"/>
    <w:rPr>
      <w:rFonts w:ascii="华文仿宋" w:hAnsi="华文仿宋" w:eastAsia="华文仿宋"/>
      <w:sz w:val="30"/>
      <w:szCs w:val="30"/>
    </w:rPr>
  </w:style>
  <w:style w:type="character" w:customStyle="1" w:styleId="11">
    <w:name w:val="样式1 Char"/>
    <w:basedOn w:val="6"/>
    <w:link w:val="10"/>
    <w:qFormat/>
    <w:uiPriority w:val="0"/>
    <w:rPr>
      <w:rFonts w:ascii="华文仿宋" w:hAnsi="华文仿宋" w:eastAsia="华文仿宋"/>
      <w:sz w:val="30"/>
      <w:szCs w:val="30"/>
    </w:rPr>
  </w:style>
  <w:style w:type="character" w:customStyle="1" w:styleId="12">
    <w:name w:val="批注框文本 Char"/>
    <w:basedOn w:val="6"/>
    <w:link w:val="2"/>
    <w:semiHidden/>
    <w:qFormat/>
    <w:uiPriority w:val="99"/>
    <w:rPr>
      <w:rFonts w:ascii="华文仿宋" w:hAnsi="华文仿宋" w:eastAsia="华文仿宋"/>
      <w:sz w:val="18"/>
      <w:szCs w:val="18"/>
    </w:rPr>
  </w:style>
  <w:style w:type="character" w:customStyle="1" w:styleId="13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font31"/>
    <w:basedOn w:val="6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6">
    <w:name w:val="font11"/>
    <w:basedOn w:val="6"/>
    <w:qFormat/>
    <w:uiPriority w:val="0"/>
    <w:rPr>
      <w:rFonts w:ascii="Arial" w:hAnsi="Arial" w:cs="Arial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531</Words>
  <Characters>3031</Characters>
  <Lines>25</Lines>
  <Paragraphs>7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2015-10-16T02:25:00Z</dcterms:created>
  <dc:creator>李滨</dc:creator>
  <cp:lastModifiedBy>dell</cp:lastModifiedBy>
  <cp:lastPrinted>2015-06-15T08:09:00Z</cp:lastPrinted>
  <dcterms:modified xsi:type="dcterms:W3CDTF">2016-08-18T07:31:05Z</dcterms:modified>
  <dc:title>国家邮政局关于2015年6月邮政业消费者申诉情况的通告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